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4ABB7" w14:textId="2BE6AF82" w:rsidR="001343DF" w:rsidRDefault="00705079" w:rsidP="00705079">
      <w:pPr>
        <w:pStyle w:val="Heading1"/>
        <w:jc w:val="center"/>
        <w:rPr>
          <w:rtl/>
        </w:rPr>
      </w:pPr>
      <w:r w:rsidRPr="00705079">
        <w:rPr>
          <w:rFonts w:hint="cs"/>
          <w:sz w:val="32"/>
          <w:szCs w:val="32"/>
          <w:rtl/>
        </w:rPr>
        <w:t>לאן הולכים מכאן?</w:t>
      </w:r>
      <w:r>
        <w:rPr>
          <w:rtl/>
        </w:rPr>
        <w:br/>
      </w:r>
      <w:r w:rsidR="006E477F">
        <w:rPr>
          <w:rFonts w:hint="cs"/>
          <w:rtl/>
        </w:rPr>
        <w:t>משאל-עם כפתרון למאבק הרשויות</w:t>
      </w:r>
    </w:p>
    <w:p w14:paraId="34DC5FA0" w14:textId="0AD5A503" w:rsidR="006E477F" w:rsidRDefault="0041027F" w:rsidP="00666E63">
      <w:pPr>
        <w:pStyle w:val="Heading2"/>
        <w:jc w:val="center"/>
      </w:pPr>
      <w:r>
        <w:rPr>
          <w:rFonts w:hint="cs"/>
          <w:rtl/>
        </w:rPr>
        <w:t>אראל סגל</w:t>
      </w:r>
      <w:r w:rsidR="00D91D9F">
        <w:rPr>
          <w:rFonts w:hint="eastAsia"/>
          <w:rtl/>
        </w:rPr>
        <w:t>־</w:t>
      </w:r>
      <w:r>
        <w:rPr>
          <w:rFonts w:hint="cs"/>
          <w:rtl/>
        </w:rPr>
        <w:t>הלוי</w:t>
      </w:r>
      <w:r w:rsidR="00DC7A23">
        <w:rPr>
          <w:rStyle w:val="FootnoteReference"/>
          <w:rtl/>
        </w:rPr>
        <w:footnoteReference w:customMarkFollows="1" w:id="1"/>
        <w:t>*</w:t>
      </w:r>
    </w:p>
    <w:p w14:paraId="054D564B" w14:textId="658FE6EB" w:rsidR="001A568F" w:rsidRPr="001A568F" w:rsidRDefault="001A568F" w:rsidP="001A568F">
      <w:r>
        <w:rPr>
          <w:rtl/>
        </w:rPr>
        <w:t xml:space="preserve">בשנים האחרונות התעצמה המתיחות החוקתית בין הרשות המבצעת </w:t>
      </w:r>
      <w:r>
        <w:rPr>
          <w:rFonts w:hint="cs"/>
          <w:rtl/>
        </w:rPr>
        <w:t>ל</w:t>
      </w:r>
      <w:r>
        <w:rPr>
          <w:rtl/>
        </w:rPr>
        <w:t xml:space="preserve">רשות השופטת בישראל, כאשר כל אחת מהרשויות ביקשה לעצב מחדש את גבולות סמכויותיה על-חשבון הרשות האחרת. ביטויה המובהק של מתיחות זו היה במאבק על "עילת הסבירות": </w:t>
      </w:r>
      <w:r>
        <w:rPr>
          <w:rFonts w:hint="cs"/>
          <w:rtl/>
        </w:rPr>
        <w:t xml:space="preserve">הממשלה (באמצעות הרוב </w:t>
      </w:r>
      <w:r w:rsidR="0087292B">
        <w:rPr>
          <w:rFonts w:hint="cs"/>
          <w:rtl/>
        </w:rPr>
        <w:t xml:space="preserve">הקואליציוני </w:t>
      </w:r>
      <w:r>
        <w:rPr>
          <w:rFonts w:hint="cs"/>
          <w:rtl/>
        </w:rPr>
        <w:t xml:space="preserve">שיש לה בכנסת) </w:t>
      </w:r>
      <w:r>
        <w:rPr>
          <w:rtl/>
        </w:rPr>
        <w:t>תיקנה ביולי 2023 את חוק-יסוד: השפיטה וקבעה כי בית המשפט לא ידון בסבירות החלטות הממשלה, ראש הממשלה או שר. בתגובה, בג"ץ הכריז בינואר 2024 על בטלות התיקון, ו</w:t>
      </w:r>
      <w:r>
        <w:rPr>
          <w:rFonts w:hint="cs"/>
          <w:rtl/>
        </w:rPr>
        <w:t xml:space="preserve">יחד עם זה, </w:t>
      </w:r>
      <w:r>
        <w:rPr>
          <w:rtl/>
        </w:rPr>
        <w:t>קבע כי לבית המשפט סמכות לביקורת שיפוטית על חוקי יסוד</w:t>
      </w:r>
      <w:r>
        <w:rPr>
          <w:rFonts w:hint="cs"/>
          <w:rtl/>
        </w:rPr>
        <w:t>.</w:t>
      </w:r>
    </w:p>
    <w:p w14:paraId="02F43492" w14:textId="77777777" w:rsidR="001A568F" w:rsidRPr="001A568F" w:rsidRDefault="001A568F" w:rsidP="001A568F">
      <w:r>
        <w:rPr>
          <w:rtl/>
        </w:rPr>
        <w:t xml:space="preserve">מאמר זה מזהה בעיה </w:t>
      </w:r>
      <w:r>
        <w:rPr>
          <w:rFonts w:hint="cs"/>
          <w:rtl/>
        </w:rPr>
        <w:t xml:space="preserve">מהותית </w:t>
      </w:r>
      <w:r>
        <w:rPr>
          <w:rtl/>
        </w:rPr>
        <w:t xml:space="preserve">במציאות שבה כל רשות מחליטה על היקף סמכויותיה שלה. קיים כאן ניגוד עניינים מובנה: רשות המחליטה בדבר סמכויותיה נמצאת, כמעט בהכרח, במצב של שופט בעניינו. ממד נוסף של הבעיה הוא פגיעה באמון הציבור - כאשר רשות מרחיבה את כוחה בהחלטה עצמית, הדבר </w:t>
      </w:r>
      <w:r>
        <w:rPr>
          <w:rFonts w:hint="cs"/>
          <w:rtl/>
        </w:rPr>
        <w:t xml:space="preserve">עלול להיתפס </w:t>
      </w:r>
      <w:r>
        <w:rPr>
          <w:rtl/>
        </w:rPr>
        <w:t>כפעולה אינטרסנטית</w:t>
      </w:r>
      <w:r>
        <w:rPr>
          <w:rFonts w:hint="cs"/>
          <w:rtl/>
        </w:rPr>
        <w:t>,</w:t>
      </w:r>
      <w:r>
        <w:rPr>
          <w:rtl/>
        </w:rPr>
        <w:t xml:space="preserve"> ולא כהחלטה עניינית</w:t>
      </w:r>
      <w:r>
        <w:t>.</w:t>
      </w:r>
    </w:p>
    <w:p w14:paraId="40F956E4" w14:textId="77777777" w:rsidR="00A24DA2" w:rsidRDefault="001A568F" w:rsidP="0087292B">
      <w:pPr>
        <w:rPr>
          <w:rtl/>
        </w:rPr>
      </w:pPr>
      <w:r>
        <w:rPr>
          <w:rtl/>
        </w:rPr>
        <w:t>המאמר מציע פתרון למצב זה: העברת מחלוקות בין</w:t>
      </w:r>
      <w:r>
        <w:rPr>
          <w:rFonts w:hint="cs"/>
          <w:rtl/>
        </w:rPr>
        <w:t xml:space="preserve"> </w:t>
      </w:r>
      <w:r>
        <w:rPr>
          <w:rtl/>
        </w:rPr>
        <w:t>רשויות בנוגע לגבולות הסמכות ביניהן להכרעה עממית באמצעות משאל עם. ההצדקה לכך נשענת על עקרון הריבונות העממית: במשטר דמוקרטי, כל הרשויות הן נציגות העם ופועלות בשליחותו. משכך, כאשר נוצרת מחלוקת בין שני "שלוחים" לגבי גבולות סמכותם, ההחלטה צריכה לשוב אל "השולח" - העם הריבון</w:t>
      </w:r>
      <w:r>
        <w:t>.</w:t>
      </w:r>
      <w:r w:rsidR="0087292B">
        <w:rPr>
          <w:rFonts w:hint="cs"/>
          <w:rtl/>
        </w:rPr>
        <w:t xml:space="preserve"> </w:t>
      </w:r>
    </w:p>
    <w:p w14:paraId="74127CDF" w14:textId="532B0F3F" w:rsidR="001A568F" w:rsidRDefault="00A24DA2" w:rsidP="00A24DA2">
      <w:pPr>
        <w:rPr>
          <w:rtl/>
        </w:rPr>
      </w:pPr>
      <w:r>
        <w:rPr>
          <w:rFonts w:hint="cs"/>
          <w:rtl/>
        </w:rPr>
        <w:t xml:space="preserve">עקרונית, יישום הפתרון דורש שינוי חקיקה, ושינוי כזה אינו נראה באופק. החידוש העיקרי במאמר זה הוא ההצעה </w:t>
      </w:r>
      <w:r w:rsidR="00077B65">
        <w:rPr>
          <w:rFonts w:hint="cs"/>
          <w:rtl/>
        </w:rPr>
        <w:t>ליישם את הפתרון גם ללא שינוי חקיקה:</w:t>
      </w:r>
      <w:r w:rsidR="00077B65">
        <w:t xml:space="preserve"> </w:t>
      </w:r>
      <w:r w:rsidR="001A568F">
        <w:rPr>
          <w:rFonts w:hint="cs"/>
          <w:rtl/>
        </w:rPr>
        <w:t xml:space="preserve">בג"ץ </w:t>
      </w:r>
      <w:r w:rsidR="001A568F">
        <w:rPr>
          <w:rtl/>
        </w:rPr>
        <w:t xml:space="preserve">עצמו, בהידרשו לעתירה הנוגעת לסמכויותיו, יכול להצהיר כי </w:t>
      </w:r>
      <w:r w:rsidR="001A568F">
        <w:rPr>
          <w:rFonts w:hint="cs"/>
          <w:rtl/>
        </w:rPr>
        <w:t xml:space="preserve">הינו </w:t>
      </w:r>
      <w:r w:rsidR="001A568F">
        <w:rPr>
          <w:rtl/>
        </w:rPr>
        <w:t>מצוי בניגוד עניינים</w:t>
      </w:r>
      <w:r w:rsidR="001A568F">
        <w:rPr>
          <w:rFonts w:hint="cs"/>
          <w:rtl/>
        </w:rPr>
        <w:t>,</w:t>
      </w:r>
      <w:r w:rsidR="001A568F">
        <w:rPr>
          <w:rtl/>
        </w:rPr>
        <w:t xml:space="preserve"> ולהורות </w:t>
      </w:r>
      <w:r w:rsidR="001A568F">
        <w:rPr>
          <w:rFonts w:hint="cs"/>
          <w:rtl/>
        </w:rPr>
        <w:t xml:space="preserve">לממשלה לקיים </w:t>
      </w:r>
      <w:r w:rsidR="001A568F">
        <w:rPr>
          <w:rtl/>
        </w:rPr>
        <w:t xml:space="preserve">משאל עם בסוגיה. בכך, הפתרון המוצע מציע </w:t>
      </w:r>
      <w:r w:rsidR="001A568F">
        <w:rPr>
          <w:rFonts w:hint="cs"/>
          <w:rtl/>
        </w:rPr>
        <w:t xml:space="preserve">חלופה </w:t>
      </w:r>
      <w:r w:rsidR="001A568F">
        <w:rPr>
          <w:rtl/>
        </w:rPr>
        <w:t>למעגל הקסמים הנוכחי, שבו כל רשות מתיימרת להכריע בשאלות הנוגעות לגבולות כוחה היא עצמה</w:t>
      </w:r>
      <w:r w:rsidR="001A568F">
        <w:t>.</w:t>
      </w:r>
    </w:p>
    <w:p w14:paraId="60F5391C" w14:textId="77777777" w:rsidR="00AD35EC" w:rsidRDefault="00AD35EC" w:rsidP="0087292B">
      <w:pPr>
        <w:rPr>
          <w:rtl/>
        </w:rPr>
      </w:pPr>
    </w:p>
    <w:p w14:paraId="044D6ED3" w14:textId="77777777" w:rsidR="00545791" w:rsidRDefault="00545791" w:rsidP="00545791">
      <w:pPr>
        <w:pStyle w:val="Heading2"/>
        <w:rPr>
          <w:rtl/>
        </w:rPr>
      </w:pPr>
      <w:r>
        <w:rPr>
          <w:rFonts w:hint="cs"/>
          <w:rtl/>
        </w:rPr>
        <w:t>תוכן העניינים</w:t>
      </w:r>
    </w:p>
    <w:p w14:paraId="5505B837" w14:textId="77777777" w:rsidR="00027269" w:rsidRDefault="0087292B" w:rsidP="001A568F">
      <w:pPr>
        <w:rPr>
          <w:rtl/>
        </w:rPr>
      </w:pPr>
      <w:r w:rsidRPr="0087292B">
        <w:rPr>
          <w:rFonts w:hint="cs"/>
          <w:b/>
          <w:bCs/>
          <w:rtl/>
        </w:rPr>
        <w:t>מבוא</w:t>
      </w:r>
      <w:r>
        <w:rPr>
          <w:rFonts w:hint="cs"/>
          <w:rtl/>
        </w:rPr>
        <w:t xml:space="preserve">. </w:t>
      </w:r>
    </w:p>
    <w:p w14:paraId="58555D46" w14:textId="6C724CB9" w:rsidR="00027269" w:rsidRDefault="0087292B" w:rsidP="001A568F">
      <w:pPr>
        <w:rPr>
          <w:rtl/>
        </w:rPr>
      </w:pPr>
      <w:r w:rsidRPr="00027269">
        <w:rPr>
          <w:rFonts w:hint="cs"/>
          <w:b/>
          <w:bCs/>
          <w:rtl/>
        </w:rPr>
        <w:t>א. הבעיות במצב הקיים:</w:t>
      </w:r>
      <w:r>
        <w:rPr>
          <w:rFonts w:hint="cs"/>
          <w:rtl/>
        </w:rPr>
        <w:t xml:space="preserve"> 1. בעיית ניגוד העניינים; 2. בעיית השליט העליון</w:t>
      </w:r>
      <w:r w:rsidR="006D236F">
        <w:rPr>
          <w:rFonts w:hint="cs"/>
          <w:rtl/>
        </w:rPr>
        <w:t>; 3. בעיית הלגיטימציה.</w:t>
      </w:r>
    </w:p>
    <w:p w14:paraId="39DE25CB" w14:textId="1A008B0A" w:rsidR="00027269" w:rsidRDefault="0087292B" w:rsidP="00027269">
      <w:pPr>
        <w:rPr>
          <w:rtl/>
        </w:rPr>
      </w:pPr>
      <w:r w:rsidRPr="00027269">
        <w:rPr>
          <w:rFonts w:hint="cs"/>
          <w:b/>
          <w:bCs/>
          <w:rtl/>
        </w:rPr>
        <w:t xml:space="preserve">ב. הפתרון המוצע </w:t>
      </w:r>
      <w:r w:rsidRPr="00027269">
        <w:rPr>
          <w:b/>
          <w:bCs/>
          <w:rtl/>
        </w:rPr>
        <w:t>–</w:t>
      </w:r>
      <w:r w:rsidRPr="00027269">
        <w:rPr>
          <w:rFonts w:hint="cs"/>
          <w:b/>
          <w:bCs/>
          <w:rtl/>
        </w:rPr>
        <w:t xml:space="preserve"> משאל עם</w:t>
      </w:r>
      <w:r w:rsidR="00027269" w:rsidRPr="00027269">
        <w:rPr>
          <w:rFonts w:hint="cs"/>
          <w:b/>
          <w:bCs/>
          <w:rtl/>
        </w:rPr>
        <w:t>:</w:t>
      </w:r>
      <w:r w:rsidR="00027269">
        <w:rPr>
          <w:rFonts w:hint="cs"/>
          <w:rtl/>
        </w:rPr>
        <w:t xml:space="preserve"> 1. משאלי עם בעולם; 2. משאלי עם בחוק הישראלי.</w:t>
      </w:r>
    </w:p>
    <w:p w14:paraId="7266C939" w14:textId="00A65EE2" w:rsidR="00027269" w:rsidRDefault="00027269" w:rsidP="00027269">
      <w:pPr>
        <w:rPr>
          <w:rtl/>
        </w:rPr>
      </w:pPr>
      <w:r w:rsidRPr="00027269">
        <w:rPr>
          <w:rFonts w:hint="cs"/>
          <w:b/>
          <w:bCs/>
          <w:rtl/>
        </w:rPr>
        <w:t xml:space="preserve">ג. משאל עם </w:t>
      </w:r>
      <w:r w:rsidRPr="00027269">
        <w:rPr>
          <w:b/>
          <w:bCs/>
          <w:rtl/>
        </w:rPr>
        <w:t>–</w:t>
      </w:r>
      <w:r w:rsidRPr="00027269">
        <w:rPr>
          <w:rFonts w:hint="cs"/>
          <w:b/>
          <w:bCs/>
          <w:rtl/>
        </w:rPr>
        <w:t xml:space="preserve"> בעיות ופתרונות</w:t>
      </w:r>
      <w:r>
        <w:rPr>
          <w:rFonts w:hint="cs"/>
          <w:rtl/>
        </w:rPr>
        <w:t xml:space="preserve">: 1. בעיית המומחיות; 2. </w:t>
      </w:r>
      <w:r w:rsidR="006763E3">
        <w:rPr>
          <w:rFonts w:hint="cs"/>
          <w:rtl/>
        </w:rPr>
        <w:t xml:space="preserve">בעיית </w:t>
      </w:r>
      <w:r>
        <w:rPr>
          <w:rFonts w:hint="cs"/>
          <w:rtl/>
        </w:rPr>
        <w:t xml:space="preserve">ההון; </w:t>
      </w:r>
      <w:r w:rsidR="006763E3">
        <w:rPr>
          <w:rFonts w:hint="cs"/>
          <w:rtl/>
        </w:rPr>
        <w:t>3. בעיית הקיטוב;</w:t>
      </w:r>
      <w:r w:rsidR="002C75DE">
        <w:rPr>
          <w:rFonts w:hint="cs"/>
          <w:rtl/>
        </w:rPr>
        <w:t xml:space="preserve"> 4. בעיית ניסוח </w:t>
      </w:r>
      <w:r w:rsidR="001E133A">
        <w:rPr>
          <w:rFonts w:hint="cs"/>
          <w:rtl/>
        </w:rPr>
        <w:t>ה</w:t>
      </w:r>
      <w:r w:rsidR="002C75DE">
        <w:rPr>
          <w:rFonts w:hint="cs"/>
          <w:rtl/>
        </w:rPr>
        <w:t>שאל</w:t>
      </w:r>
      <w:r w:rsidR="001E133A">
        <w:rPr>
          <w:rFonts w:hint="cs"/>
          <w:rtl/>
        </w:rPr>
        <w:t>ה</w:t>
      </w:r>
      <w:r w:rsidR="002C75DE">
        <w:rPr>
          <w:rFonts w:hint="cs"/>
          <w:rtl/>
        </w:rPr>
        <w:t xml:space="preserve">; </w:t>
      </w:r>
      <w:r w:rsidR="006763E3">
        <w:rPr>
          <w:rFonts w:hint="cs"/>
          <w:rtl/>
        </w:rPr>
        <w:t xml:space="preserve"> </w:t>
      </w:r>
      <w:r w:rsidR="002C75DE">
        <w:rPr>
          <w:rFonts w:hint="cs"/>
          <w:rtl/>
        </w:rPr>
        <w:t>5</w:t>
      </w:r>
      <w:r w:rsidR="002F296A">
        <w:rPr>
          <w:rFonts w:hint="cs"/>
          <w:rtl/>
        </w:rPr>
        <w:t xml:space="preserve">. </w:t>
      </w:r>
      <w:r w:rsidR="002F60D1">
        <w:rPr>
          <w:rFonts w:hint="cs"/>
          <w:rtl/>
        </w:rPr>
        <w:t>יתרונות עקיפים.</w:t>
      </w:r>
    </w:p>
    <w:p w14:paraId="5AD50595" w14:textId="730F8586" w:rsidR="00027269" w:rsidRDefault="00027269" w:rsidP="00027269">
      <w:pPr>
        <w:rPr>
          <w:rtl/>
        </w:rPr>
      </w:pPr>
      <w:r w:rsidRPr="00027269">
        <w:rPr>
          <w:rFonts w:hint="cs"/>
          <w:b/>
          <w:bCs/>
          <w:rtl/>
        </w:rPr>
        <w:t>ד. חלופה:  ועדת מומחים</w:t>
      </w:r>
      <w:r w:rsidR="00640EAD">
        <w:rPr>
          <w:rFonts w:hint="cs"/>
          <w:rtl/>
        </w:rPr>
        <w:t>.</w:t>
      </w:r>
    </w:p>
    <w:p w14:paraId="64CDD4D1" w14:textId="73EC7E94" w:rsidR="00640EAD" w:rsidRDefault="00640EAD" w:rsidP="00027269">
      <w:pPr>
        <w:rPr>
          <w:b/>
          <w:bCs/>
          <w:rtl/>
        </w:rPr>
      </w:pPr>
      <w:r w:rsidRPr="00640EAD">
        <w:rPr>
          <w:rFonts w:hint="cs"/>
          <w:b/>
          <w:bCs/>
          <w:rtl/>
        </w:rPr>
        <w:t xml:space="preserve">ה. </w:t>
      </w:r>
      <w:r w:rsidR="008C129C">
        <w:rPr>
          <w:rFonts w:hint="cs"/>
          <w:b/>
          <w:bCs/>
          <w:rtl/>
        </w:rPr>
        <w:t>תם ולא נשלם</w:t>
      </w:r>
      <w:r>
        <w:rPr>
          <w:rFonts w:hint="cs"/>
          <w:b/>
          <w:bCs/>
          <w:rtl/>
        </w:rPr>
        <w:t>.</w:t>
      </w:r>
    </w:p>
    <w:p w14:paraId="73DC05AD" w14:textId="77777777" w:rsidR="00640EAD" w:rsidRPr="00640EAD" w:rsidRDefault="00640EAD" w:rsidP="00027269">
      <w:pPr>
        <w:rPr>
          <w:b/>
          <w:bCs/>
          <w:rtl/>
        </w:rPr>
      </w:pPr>
    </w:p>
    <w:p w14:paraId="29EB17E5" w14:textId="77777777" w:rsidR="00027269" w:rsidRDefault="00027269" w:rsidP="00027269">
      <w:pPr>
        <w:rPr>
          <w:rtl/>
        </w:rPr>
      </w:pPr>
    </w:p>
    <w:p w14:paraId="2DE84E2D" w14:textId="77777777" w:rsidR="00666E63" w:rsidRDefault="00666E63" w:rsidP="00666E63">
      <w:pPr>
        <w:pStyle w:val="Heading2"/>
        <w:rPr>
          <w:rtl/>
        </w:rPr>
      </w:pPr>
      <w:r>
        <w:rPr>
          <w:rFonts w:hint="cs"/>
          <w:rtl/>
        </w:rPr>
        <w:t>מבוא</w:t>
      </w:r>
    </w:p>
    <w:p w14:paraId="440BDADB" w14:textId="77777777" w:rsidR="006A68A5" w:rsidRDefault="0003778B" w:rsidP="00B915B8">
      <w:pPr>
        <w:rPr>
          <w:rtl/>
        </w:rPr>
      </w:pPr>
      <w:r>
        <w:rPr>
          <w:rFonts w:hint="cs"/>
          <w:rtl/>
        </w:rPr>
        <w:t>ב-24.7.2023 עבר בכנסת תיקון מס' 3 ל</w:t>
      </w:r>
      <w:r>
        <w:rPr>
          <w:rtl/>
        </w:rPr>
        <w:t>חוק-יסוד: השפיטה</w:t>
      </w:r>
      <w:r>
        <w:rPr>
          <w:rFonts w:hint="cs"/>
          <w:rtl/>
        </w:rPr>
        <w:t xml:space="preserve">, הקובע </w:t>
      </w:r>
      <w:r>
        <w:rPr>
          <w:rtl/>
        </w:rPr>
        <w:t xml:space="preserve">כי בית המשפט לא ידון בסבירות החלטות הממשלה, ראש הממשלה או שר. </w:t>
      </w:r>
      <w:r>
        <w:rPr>
          <w:rFonts w:hint="cs"/>
          <w:rtl/>
        </w:rPr>
        <w:t>התנועה למען איכות השלטון בישראל עתרה לבג"ץ נגד התיקון. ב-1.1.2024</w:t>
      </w:r>
      <w:r>
        <w:rPr>
          <w:rtl/>
        </w:rPr>
        <w:t xml:space="preserve"> </w:t>
      </w:r>
      <w:r>
        <w:rPr>
          <w:rFonts w:hint="cs"/>
          <w:rtl/>
        </w:rPr>
        <w:t xml:space="preserve">קיבל בג"ץ את העתירה והורה </w:t>
      </w:r>
      <w:r>
        <w:rPr>
          <w:rtl/>
        </w:rPr>
        <w:t>על בטלות התיקון</w:t>
      </w:r>
      <w:r>
        <w:rPr>
          <w:rFonts w:hint="cs"/>
          <w:rtl/>
        </w:rPr>
        <w:t>.</w:t>
      </w:r>
      <w:r>
        <w:rPr>
          <w:rStyle w:val="FootnoteReference"/>
          <w:rtl/>
        </w:rPr>
        <w:footnoteReference w:id="2"/>
      </w:r>
    </w:p>
    <w:p w14:paraId="15D7DA7A" w14:textId="77777777" w:rsidR="00B915B8" w:rsidRDefault="00EC1426" w:rsidP="002E1B5C">
      <w:pPr>
        <w:rPr>
          <w:rtl/>
        </w:rPr>
      </w:pPr>
      <w:r>
        <w:rPr>
          <w:rFonts w:hint="cs"/>
          <w:rtl/>
        </w:rPr>
        <w:t>הוויכוח על עילת הסבירות גרם למחלוקת ציבורית מהחמורות ביותר שידעה מדינת ישראל. כל "מחנה"</w:t>
      </w:r>
      <w:r>
        <w:t xml:space="preserve"> </w:t>
      </w:r>
      <w:r>
        <w:rPr>
          <w:rFonts w:hint="cs"/>
          <w:rtl/>
        </w:rPr>
        <w:t>טען, שהמחנה השני פוגע פגיעה קשה באופייה הדמוקרטי של המדינה, ואף עלו האשמות על התנהגות דיקטטורית. במחנה האופוזיציה טענו, שביטול עילת הסבירות הוא "צעד נוסף בהעברת כוח שלטוני בלתי מוגבל לממשלה".</w:t>
      </w:r>
      <w:r>
        <w:rPr>
          <w:rStyle w:val="FootnoteReference"/>
          <w:rtl/>
        </w:rPr>
        <w:footnoteReference w:id="3"/>
      </w:r>
      <w:r>
        <w:rPr>
          <w:rFonts w:hint="cs"/>
          <w:rtl/>
        </w:rPr>
        <w:t xml:space="preserve"> מנגד, במחנה הקואליציה כינו את בית-המשפט העליון "אליטה אוליגרכית",</w:t>
      </w:r>
      <w:bookmarkStart w:id="0" w:name="_Ref227676840"/>
      <w:r>
        <w:rPr>
          <w:rStyle w:val="FootnoteReference"/>
          <w:rtl/>
        </w:rPr>
        <w:footnoteReference w:id="4"/>
      </w:r>
      <w:bookmarkEnd w:id="0"/>
      <w:r>
        <w:rPr>
          <w:rFonts w:hint="cs"/>
          <w:rtl/>
        </w:rPr>
        <w:t xml:space="preserve"> שכן הוא מעמיד את עצמו מעל לחוקי היסוד שנקבעו על-ידי נבחרי הציבור.</w:t>
      </w:r>
      <w:bookmarkStart w:id="1" w:name="_Ref228266839"/>
      <w:r>
        <w:rPr>
          <w:rStyle w:val="FootnoteReference"/>
          <w:rtl/>
        </w:rPr>
        <w:footnoteReference w:id="5"/>
      </w:r>
      <w:bookmarkEnd w:id="1"/>
      <w:r>
        <w:rPr>
          <w:rFonts w:hint="cs"/>
          <w:rtl/>
        </w:rPr>
        <w:t xml:space="preserve"> שתי הרשויות אף ספגו ירידה מסוימת באמון הציבור כתוצאה מהמאבק:</w:t>
      </w:r>
      <w:r>
        <w:t xml:space="preserve"> </w:t>
      </w:r>
      <w:r>
        <w:rPr>
          <w:rFonts w:hint="cs"/>
          <w:rtl/>
        </w:rPr>
        <w:t>אמון הציבור בכנסת ירד מ-17% ביולי 2023 ל-10%</w:t>
      </w:r>
      <w:r>
        <w:t xml:space="preserve"> </w:t>
      </w:r>
      <w:r>
        <w:rPr>
          <w:rFonts w:hint="cs"/>
          <w:rtl/>
        </w:rPr>
        <w:t>בינואר 2024, ואמון הציבור בבית המשפט העליון ירד מ-45% בינואר 2024 ל-40%</w:t>
      </w:r>
      <w:r>
        <w:t xml:space="preserve"> </w:t>
      </w:r>
      <w:r>
        <w:rPr>
          <w:rFonts w:hint="cs"/>
          <w:rtl/>
        </w:rPr>
        <w:t>במרץ 2024.</w:t>
      </w:r>
      <w:bookmarkStart w:id="2" w:name="_Ref227676801"/>
      <w:r>
        <w:rPr>
          <w:rStyle w:val="FootnoteReference"/>
          <w:rtl/>
        </w:rPr>
        <w:footnoteReference w:id="6"/>
      </w:r>
      <w:bookmarkEnd w:id="2"/>
    </w:p>
    <w:p w14:paraId="37540349" w14:textId="7E0DE2A3" w:rsidR="00CF1B47" w:rsidRDefault="00CF1B47" w:rsidP="00CF1B47">
      <w:pPr>
        <w:rPr>
          <w:rtl/>
        </w:rPr>
      </w:pPr>
      <w:r>
        <w:rPr>
          <w:rFonts w:hint="cs"/>
          <w:rtl/>
        </w:rPr>
        <w:t>מדוע הגיעה המחלוקת בנושא הסבירות לעוצמה כה גדולה? במה היא שונה ממחלוקות קודמות בין הרשויות?</w:t>
      </w:r>
    </w:p>
    <w:p w14:paraId="14E548C6" w14:textId="3F647E41" w:rsidR="007544C4" w:rsidRDefault="00CF1B47" w:rsidP="00CF1B47">
      <w:pPr>
        <w:rPr>
          <w:rtl/>
        </w:rPr>
      </w:pPr>
      <w:r>
        <w:rPr>
          <w:rFonts w:hint="cs"/>
          <w:rtl/>
        </w:rPr>
        <w:t xml:space="preserve">בנושא הסבירות, </w:t>
      </w:r>
      <w:r w:rsidR="0016757B">
        <w:rPr>
          <w:rFonts w:hint="cs"/>
          <w:rtl/>
        </w:rPr>
        <w:t xml:space="preserve">כל אחד מהצדדים פעל באופן </w:t>
      </w:r>
      <w:r w:rsidR="0016757B">
        <w:rPr>
          <w:rFonts w:hint="cs"/>
          <w:b/>
          <w:bCs/>
          <w:rtl/>
        </w:rPr>
        <w:t>המרחיב את הסמכויות שלו עצמו</w:t>
      </w:r>
      <w:r w:rsidR="0016757B">
        <w:rPr>
          <w:rFonts w:hint="cs"/>
          <w:rtl/>
        </w:rPr>
        <w:t xml:space="preserve">: הממשלה הקנתה לעצמה סמכות לפעול ללא ביקורת שיפוטית על סבירות פעולותיה, ובית-המשפט </w:t>
      </w:r>
      <w:r>
        <w:rPr>
          <w:rFonts w:hint="cs"/>
          <w:rtl/>
        </w:rPr>
        <w:t>לקח</w:t>
      </w:r>
      <w:r w:rsidR="0016757B">
        <w:rPr>
          <w:rFonts w:hint="cs"/>
          <w:rtl/>
        </w:rPr>
        <w:t xml:space="preserve"> לעצמו את הסמכות לפסול פעולות ממשלה הנחשבות בלתי-סבירות בעיניו. שני הצדדים פועלים כאן בניגוד-עניינים מובהק, שהרי לכל אדם ולכל ארגון יש אינטרס להגדיל את הסמכויות של עצמו על חשבון הסמכויות של ארגונים אחרים. מעבר לסוגיה התיאורטית של ניגוד-עניינים, יש כאן סוגיה מעשית חשובה:</w:t>
      </w:r>
      <w:r w:rsidR="0016757B">
        <w:t xml:space="preserve"> </w:t>
      </w:r>
      <w:r w:rsidR="0016757B">
        <w:rPr>
          <w:rFonts w:hint="cs"/>
          <w:rtl/>
        </w:rPr>
        <w:t xml:space="preserve">אם אדם או ארגון מחליט מה הן הסמכויות של עצמו, </w:t>
      </w:r>
      <w:r w:rsidR="000975FF">
        <w:rPr>
          <w:rFonts w:hint="cs"/>
          <w:rtl/>
        </w:rPr>
        <w:t xml:space="preserve">קיימת סכנה שהוא יוכל </w:t>
      </w:r>
      <w:r w:rsidR="0016757B">
        <w:rPr>
          <w:rFonts w:hint="cs"/>
          <w:rtl/>
        </w:rPr>
        <w:t>להמשיך ולקחת לעצמו סמכויות, עד שיהפוך את עצמו לשליט</w:t>
      </w:r>
      <w:r w:rsidR="000975FF">
        <w:rPr>
          <w:rFonts w:hint="cs"/>
          <w:rtl/>
        </w:rPr>
        <w:t xml:space="preserve"> עליון</w:t>
      </w:r>
      <w:r w:rsidR="0016757B">
        <w:rPr>
          <w:rFonts w:hint="cs"/>
          <w:rtl/>
        </w:rPr>
        <w:t xml:space="preserve">. חשש זה הוא, לעניות דעתי, </w:t>
      </w:r>
      <w:r w:rsidR="001C7CE0">
        <w:rPr>
          <w:rFonts w:hint="cs"/>
          <w:rtl/>
        </w:rPr>
        <w:t>אחת הסיבות לכך</w:t>
      </w:r>
      <w:r w:rsidR="0016757B">
        <w:rPr>
          <w:rFonts w:hint="cs"/>
          <w:rtl/>
        </w:rPr>
        <w:t xml:space="preserve"> שהמחלוקת בין הצדדים הייתה קולנית וכואבת כל-כך.</w:t>
      </w:r>
    </w:p>
    <w:p w14:paraId="3B258E39" w14:textId="3D4C4278" w:rsidR="0099110D" w:rsidRDefault="002268AA" w:rsidP="002268AA">
      <w:pPr>
        <w:rPr>
          <w:rtl/>
        </w:rPr>
      </w:pPr>
      <w:r>
        <w:rPr>
          <w:rFonts w:hint="cs"/>
          <w:rtl/>
        </w:rPr>
        <w:t xml:space="preserve">במאמר זה ברצוני להציע פתרון מעשי לבעיה זו. טענתי היא, שבמקרה של מחלוקת על גודל הסמכות של רשות כלשהי, או על גבולות הסמכות בין שתי רשויות, יכולה כל אחת מן הרשויות להעביר את ההכרעה לידי הציבור, על-ידי משאל-עם. לטענתי, הפתרון ניתן לביצוע הן על-ידי הממשלה והן על-ידי שופטי בג"ץ, </w:t>
      </w:r>
      <w:r w:rsidR="00CF1B47">
        <w:rPr>
          <w:rFonts w:hint="cs"/>
          <w:rtl/>
        </w:rPr>
        <w:t xml:space="preserve">גם </w:t>
      </w:r>
      <w:r>
        <w:rPr>
          <w:rFonts w:hint="cs"/>
          <w:rtl/>
        </w:rPr>
        <w:t>ללא שינויי חקיקה. אילו היו שופטי בג"ץ מקבלים את הצעתי, פסק-דינם בעתירה הנ"ל היה יכול להיראות כך:</w:t>
      </w:r>
    </w:p>
    <w:p w14:paraId="1349BC67" w14:textId="77777777" w:rsidR="005964DA" w:rsidRDefault="005964DA" w:rsidP="002268AA">
      <w:pPr>
        <w:rPr>
          <w:rtl/>
        </w:rPr>
      </w:pPr>
    </w:p>
    <w:p w14:paraId="2ACE06B0" w14:textId="77777777" w:rsidR="00F0712E" w:rsidRDefault="00F0712E" w:rsidP="002268AA">
      <w:pPr>
        <w:rPr>
          <w:rtl/>
        </w:rPr>
      </w:pPr>
      <w:r>
        <w:rPr>
          <w:rFonts w:hint="cs"/>
          <w:rtl/>
        </w:rPr>
        <w:t>"</w:t>
      </w:r>
      <w:r>
        <w:rPr>
          <w:rFonts w:hint="cs"/>
          <w:i/>
          <w:iCs/>
          <w:rtl/>
        </w:rPr>
        <w:t>נתבקשנו לדון בעתירה הנוגעת לעצם הסמכות שלנו כשופטים. עקב כך יש לנו ניגוד עניינים מובהק, ואנו פוסלים את עצמנו מלדון בעתירה. אנו קובעים שההכרעה בנושא תתקבל במשאל עם. אנחנו מורים לממשלה לקיים בתוך שלושה חודשים משאל עם, שבו יועמדו לפני הציבור שני נוסחי החוק:</w:t>
      </w:r>
      <w:r>
        <w:rPr>
          <w:i/>
          <w:iCs/>
        </w:rPr>
        <w:t xml:space="preserve"> </w:t>
      </w:r>
      <w:r>
        <w:rPr>
          <w:rFonts w:hint="cs"/>
          <w:i/>
          <w:iCs/>
          <w:rtl/>
        </w:rPr>
        <w:t>הנוסח לפני השינוי והנוסח לאחר השינוי. הנוסח הסופי של החוק ייקבע לפי החלטת הרוב במשאל זה.</w:t>
      </w:r>
      <w:r>
        <w:rPr>
          <w:rFonts w:hint="cs"/>
          <w:rtl/>
        </w:rPr>
        <w:t>"</w:t>
      </w:r>
    </w:p>
    <w:p w14:paraId="7B74F3BD" w14:textId="0F85AA11" w:rsidR="00C22901" w:rsidRDefault="00FC0255" w:rsidP="00C22901">
      <w:pPr>
        <w:rPr>
          <w:rtl/>
        </w:rPr>
      </w:pPr>
      <w:r>
        <w:rPr>
          <w:rFonts w:hint="cs"/>
          <w:rtl/>
        </w:rPr>
        <w:t xml:space="preserve">בהמשך המאמר </w:t>
      </w:r>
      <w:r w:rsidR="000975FF">
        <w:rPr>
          <w:rFonts w:hint="cs"/>
          <w:rtl/>
        </w:rPr>
        <w:t xml:space="preserve">אתאר בהרחבה את שתי הבעיות במצב הקיים </w:t>
      </w:r>
      <w:r w:rsidR="00C22901">
        <w:rPr>
          <w:rFonts w:hint="cs"/>
          <w:rtl/>
        </w:rPr>
        <w:t>(א)</w:t>
      </w:r>
      <w:r w:rsidR="000975FF">
        <w:rPr>
          <w:rFonts w:hint="cs"/>
          <w:rtl/>
        </w:rPr>
        <w:t xml:space="preserve">, ואת הפתרון המוצע </w:t>
      </w:r>
      <w:r w:rsidR="00C22901">
        <w:rPr>
          <w:rFonts w:hint="cs"/>
          <w:rtl/>
        </w:rPr>
        <w:t xml:space="preserve">(ב), </w:t>
      </w:r>
    </w:p>
    <w:p w14:paraId="0BB9C591" w14:textId="0DB6742A" w:rsidR="000C2A9B" w:rsidRDefault="00C22901" w:rsidP="000C2A9B">
      <w:pPr>
        <w:pStyle w:val="Heading2"/>
        <w:rPr>
          <w:rtl/>
        </w:rPr>
      </w:pPr>
      <w:r>
        <w:rPr>
          <w:rFonts w:hint="cs"/>
          <w:rtl/>
        </w:rPr>
        <w:t>א</w:t>
      </w:r>
      <w:r w:rsidR="000C2A9B">
        <w:rPr>
          <w:rFonts w:hint="cs"/>
          <w:rtl/>
        </w:rPr>
        <w:t xml:space="preserve">. </w:t>
      </w:r>
      <w:r w:rsidR="009D2FF8">
        <w:rPr>
          <w:rFonts w:hint="cs"/>
          <w:rtl/>
        </w:rPr>
        <w:t>הבעיות</w:t>
      </w:r>
    </w:p>
    <w:p w14:paraId="45638695" w14:textId="3A3CE11D" w:rsidR="009D2FF8" w:rsidRPr="009D2FF8" w:rsidRDefault="009D2FF8" w:rsidP="009D2FF8">
      <w:pPr>
        <w:pStyle w:val="Heading3"/>
        <w:rPr>
          <w:rtl/>
        </w:rPr>
      </w:pPr>
      <w:r>
        <w:rPr>
          <w:rFonts w:hint="cs"/>
          <w:rtl/>
        </w:rPr>
        <w:t>א. 1. בעיית ניגוד העניינים</w:t>
      </w:r>
    </w:p>
    <w:p w14:paraId="20766480" w14:textId="33A4B618" w:rsidR="00522DAD" w:rsidRDefault="004F6274" w:rsidP="00522DAD">
      <w:pPr>
        <w:rPr>
          <w:rtl/>
        </w:rPr>
      </w:pPr>
      <w:r>
        <w:rPr>
          <w:rFonts w:hint="cs"/>
          <w:rtl/>
        </w:rPr>
        <w:t>במשפט העברי כבר נקבע עקרון־יסוד ולפיו אדם אינו יכול להיות דיין במשפט של קרוב־משפחתו. וכיוון ש"אדם קרוב אצל עצמו"</w:t>
      </w:r>
      <w:r w:rsidR="00CF1B47">
        <w:rPr>
          <w:rStyle w:val="FootnoteReference"/>
          <w:rtl/>
        </w:rPr>
        <w:footnoteReference w:id="7"/>
      </w:r>
      <w:r>
        <w:rPr>
          <w:rFonts w:hint="cs"/>
          <w:rtl/>
        </w:rPr>
        <w:t xml:space="preserve">, אדם נחשב לקרוב־משפחה של עצמו, ולכן אינו יכול להיות דיין במשפט של עצמו. עקרון זה קיים גם במשפט הרומי, והוא מכונה שם </w:t>
      </w:r>
      <w:r>
        <w:rPr>
          <w:i/>
          <w:iCs/>
        </w:rPr>
        <w:t xml:space="preserve">nemo judex in causa </w:t>
      </w:r>
      <w:proofErr w:type="spellStart"/>
      <w:r>
        <w:rPr>
          <w:i/>
          <w:iCs/>
        </w:rPr>
        <w:t>sua</w:t>
      </w:r>
      <w:proofErr w:type="spellEnd"/>
      <w:r>
        <w:rPr>
          <w:rFonts w:hint="cs"/>
          <w:rtl/>
        </w:rPr>
        <w:t xml:space="preserve"> – "איש לא ישפוט בעניינו שלו". בית המשפט העליון של ארצות הברית כינה עקרון זה "עמוד תווך של שיטת הממשל שלנו".</w:t>
      </w:r>
      <w:r w:rsidR="000D4BCD">
        <w:rPr>
          <w:rStyle w:val="FootnoteReference"/>
        </w:rPr>
        <w:footnoteReference w:id="8"/>
      </w:r>
      <w:r>
        <w:rPr>
          <w:rFonts w:hint="cs"/>
          <w:rtl/>
        </w:rPr>
        <w:t xml:space="preserve"> גם </w:t>
      </w:r>
      <w:r w:rsidR="00D9232A">
        <w:rPr>
          <w:rFonts w:hint="cs"/>
          <w:rtl/>
        </w:rPr>
        <w:t>ה</w:t>
      </w:r>
      <w:r>
        <w:rPr>
          <w:rFonts w:hint="cs"/>
          <w:rtl/>
        </w:rPr>
        <w:t xml:space="preserve">משפט הישראלי </w:t>
      </w:r>
      <w:r w:rsidR="00D9232A">
        <w:rPr>
          <w:rFonts w:hint="cs"/>
          <w:rtl/>
        </w:rPr>
        <w:t>מתייחס בחומרה רבה ל</w:t>
      </w:r>
      <w:r>
        <w:rPr>
          <w:rFonts w:hint="cs"/>
          <w:rtl/>
        </w:rPr>
        <w:t>ניגוד עניינים</w:t>
      </w:r>
      <w:r w:rsidR="00D9232A">
        <w:rPr>
          <w:rFonts w:hint="cs"/>
          <w:rtl/>
        </w:rPr>
        <w:t>.</w:t>
      </w:r>
      <w:r w:rsidR="004259CF">
        <w:rPr>
          <w:rStyle w:val="FootnoteReference"/>
          <w:rtl/>
        </w:rPr>
        <w:footnoteReference w:id="9"/>
      </w:r>
      <w:r w:rsidR="00D9232A">
        <w:rPr>
          <w:rFonts w:hint="cs"/>
          <w:rtl/>
        </w:rPr>
        <w:t xml:space="preserve"> החוק הישראלי קובע, ששופט חייב לפסול את עצמו מלדון בתיק שבו יש לו "עניין כספי ממשי </w:t>
      </w:r>
      <w:r w:rsidR="00D9232A" w:rsidRPr="00522DAD">
        <w:rPr>
          <w:rFonts w:hint="cs"/>
          <w:rtl/>
        </w:rPr>
        <w:t>או עניין אישי ממשי</w:t>
      </w:r>
      <w:r w:rsidR="00D9232A">
        <w:rPr>
          <w:rFonts w:hint="cs"/>
          <w:rtl/>
        </w:rPr>
        <w:t xml:space="preserve"> בהליך או בתוצאותיו".</w:t>
      </w:r>
      <w:r w:rsidR="00D9232A">
        <w:rPr>
          <w:rStyle w:val="FootnoteReference"/>
          <w:rtl/>
        </w:rPr>
        <w:footnoteReference w:id="10"/>
      </w:r>
      <w:r w:rsidR="004259CF">
        <w:rPr>
          <w:rFonts w:hint="cs"/>
          <w:rtl/>
        </w:rPr>
        <w:t xml:space="preserve"> </w:t>
      </w:r>
      <w:r w:rsidR="009D74B7">
        <w:rPr>
          <w:rFonts w:hint="cs"/>
          <w:rtl/>
        </w:rPr>
        <w:t xml:space="preserve">גם ראש הממשלה ושרי הממשלה נדרשים למלא "שאלון ניגוד עניינים", ועל-בסיסם הם מקבלים חוות-דעת מהיועץ המשפטי לממשלה, </w:t>
      </w:r>
      <w:r w:rsidR="004454BA">
        <w:rPr>
          <w:rFonts w:hint="cs"/>
          <w:rtl/>
        </w:rPr>
        <w:t xml:space="preserve">המגדירה </w:t>
      </w:r>
      <w:r w:rsidR="009D74B7">
        <w:rPr>
          <w:rFonts w:hint="cs"/>
          <w:rtl/>
        </w:rPr>
        <w:t xml:space="preserve">נושאים </w:t>
      </w:r>
      <w:r w:rsidR="004454BA">
        <w:rPr>
          <w:rFonts w:hint="cs"/>
          <w:rtl/>
        </w:rPr>
        <w:t xml:space="preserve">שבהם </w:t>
      </w:r>
      <w:r w:rsidR="009D74B7">
        <w:rPr>
          <w:rFonts w:hint="cs"/>
          <w:rtl/>
        </w:rPr>
        <w:t>אסור להם לעסוק עקב ניגוד עניינים.</w:t>
      </w:r>
      <w:r w:rsidR="004259CF">
        <w:rPr>
          <w:rStyle w:val="FootnoteReference"/>
          <w:rtl/>
        </w:rPr>
        <w:footnoteReference w:id="11"/>
      </w:r>
      <w:r w:rsidR="00522DAD">
        <w:rPr>
          <w:rFonts w:hint="cs"/>
          <w:rtl/>
        </w:rPr>
        <w:t xml:space="preserve"> </w:t>
      </w:r>
    </w:p>
    <w:p w14:paraId="3ACA2AFB" w14:textId="2F2A1F66" w:rsidR="001F328B" w:rsidRDefault="00522DAD" w:rsidP="001F328B">
      <w:pPr>
        <w:rPr>
          <w:rtl/>
        </w:rPr>
      </w:pPr>
      <w:r>
        <w:rPr>
          <w:rFonts w:hint="cs"/>
          <w:rtl/>
        </w:rPr>
        <w:t xml:space="preserve">אני טוען, כי </w:t>
      </w:r>
      <w:r w:rsidR="004F6274">
        <w:rPr>
          <w:rFonts w:hint="cs"/>
          <w:rtl/>
        </w:rPr>
        <w:t>בדיון על עילת הסבירות</w:t>
      </w:r>
      <w:r>
        <w:rPr>
          <w:rFonts w:hint="cs"/>
          <w:rtl/>
        </w:rPr>
        <w:t xml:space="preserve"> נמצאים </w:t>
      </w:r>
      <w:r w:rsidR="004F6274">
        <w:rPr>
          <w:rFonts w:hint="cs"/>
          <w:rtl/>
        </w:rPr>
        <w:t xml:space="preserve">שופטי בג"ץ </w:t>
      </w:r>
      <w:r>
        <w:rPr>
          <w:rFonts w:hint="cs"/>
          <w:rtl/>
        </w:rPr>
        <w:t>ב</w:t>
      </w:r>
      <w:r w:rsidR="004F6274">
        <w:rPr>
          <w:rFonts w:hint="cs"/>
          <w:rtl/>
        </w:rPr>
        <w:t>ניגוד עניינים</w:t>
      </w:r>
      <w:r w:rsidR="009E3F60">
        <w:rPr>
          <w:rFonts w:hint="cs"/>
          <w:rtl/>
        </w:rPr>
        <w:t xml:space="preserve">, שכן </w:t>
      </w:r>
      <w:r w:rsidR="004F6274">
        <w:rPr>
          <w:rFonts w:hint="cs"/>
          <w:rtl/>
        </w:rPr>
        <w:t xml:space="preserve">ההחלטה בנושא משפיעה ישירות על הסמכות שלהם במשפטים עתידיים. </w:t>
      </w:r>
      <w:r w:rsidR="001F328B">
        <w:rPr>
          <w:rFonts w:hint="cs"/>
          <w:rtl/>
        </w:rPr>
        <w:t>אמנם לא מדובר כאן ברווח חומרי, אולם עדיין לדעתי מדובר בניגוד עניינים, ואביא שני נימוקים:</w:t>
      </w:r>
    </w:p>
    <w:p w14:paraId="002DF4B7" w14:textId="206F60E4" w:rsidR="001F328B" w:rsidRDefault="001F328B" w:rsidP="001F328B">
      <w:pPr>
        <w:rPr>
          <w:rtl/>
        </w:rPr>
      </w:pPr>
      <w:r>
        <w:rPr>
          <w:rFonts w:hint="cs"/>
          <w:rtl/>
        </w:rPr>
        <w:t>א. תיאוריות הצרכים השונות, המקובלות בפסיכולוגיה,</w:t>
      </w:r>
      <w:r w:rsidR="00957295">
        <w:rPr>
          <w:rStyle w:val="FootnoteReference"/>
          <w:rtl/>
        </w:rPr>
        <w:footnoteReference w:id="12"/>
      </w:r>
      <w:r>
        <w:rPr>
          <w:rFonts w:hint="cs"/>
          <w:rtl/>
        </w:rPr>
        <w:t xml:space="preserve"> מכירות בקיומם של צרכים רבים החשובים לא פחות מהצורך ברווח </w:t>
      </w:r>
      <w:r w:rsidR="00BD2BCA">
        <w:rPr>
          <w:rFonts w:hint="cs"/>
          <w:rtl/>
        </w:rPr>
        <w:t>חומרי</w:t>
      </w:r>
      <w:r>
        <w:rPr>
          <w:rFonts w:hint="cs"/>
          <w:rtl/>
        </w:rPr>
        <w:t>, ובפרט:</w:t>
      </w:r>
      <w:r>
        <w:t xml:space="preserve"> </w:t>
      </w:r>
      <w:r>
        <w:rPr>
          <w:rFonts w:hint="cs"/>
          <w:rtl/>
        </w:rPr>
        <w:t xml:space="preserve">הצורך בכבוד ובהשפעה. המציאות מראה, שאנשים רבים מוכנים להשקיע זמן ומשאבים חומריים כדי </w:t>
      </w:r>
      <w:r w:rsidR="00461F31">
        <w:rPr>
          <w:rFonts w:hint="cs"/>
          <w:rtl/>
        </w:rPr>
        <w:t xml:space="preserve">לקדם חוקים </w:t>
      </w:r>
      <w:r w:rsidR="00D620BA">
        <w:rPr>
          <w:rFonts w:hint="cs"/>
          <w:rtl/>
        </w:rPr>
        <w:t>או החלטות ממשלה המתאימות לעמדותיהם</w:t>
      </w:r>
      <w:r w:rsidR="00461F31">
        <w:rPr>
          <w:rFonts w:hint="cs"/>
          <w:rtl/>
        </w:rPr>
        <w:t xml:space="preserve">. כששופטים </w:t>
      </w:r>
      <w:r w:rsidR="00461F31">
        <w:rPr>
          <w:rFonts w:hint="cs"/>
          <w:rtl/>
        </w:rPr>
        <w:lastRenderedPageBreak/>
        <w:t>פוסקים בעד השארת עילת הסבירות, הם מגדילים משמעותית את יכולתם להשפיע על</w:t>
      </w:r>
      <w:r w:rsidR="00BF6797">
        <w:rPr>
          <w:rFonts w:hint="cs"/>
          <w:rtl/>
        </w:rPr>
        <w:t xml:space="preserve"> פעולות הממשלה בעתיד</w:t>
      </w:r>
      <w:r w:rsidR="00461F31">
        <w:rPr>
          <w:rFonts w:hint="cs"/>
          <w:rtl/>
        </w:rPr>
        <w:t>, ובכך משרתים צורך אישי חשוב שלהם.</w:t>
      </w:r>
    </w:p>
    <w:p w14:paraId="70119DF1" w14:textId="265DAC40" w:rsidR="009065C3" w:rsidRDefault="00BF6797" w:rsidP="002A0D56">
      <w:pPr>
        <w:rPr>
          <w:rtl/>
        </w:rPr>
      </w:pPr>
      <w:r>
        <w:rPr>
          <w:rFonts w:hint="cs"/>
          <w:rtl/>
        </w:rPr>
        <w:t xml:space="preserve">ב. המשפט הישראלי מייחס חשיבות לא רק לניגוד עניינים אישי, אלא גם </w:t>
      </w:r>
      <w:r w:rsidR="001F328B">
        <w:rPr>
          <w:rFonts w:hint="cs"/>
          <w:rtl/>
        </w:rPr>
        <w:t xml:space="preserve">ל"ניגוד עניינים מוסדי", </w:t>
      </w:r>
      <w:r>
        <w:rPr>
          <w:rFonts w:hint="cs"/>
          <w:rtl/>
        </w:rPr>
        <w:t>המתאר אדם הממלא תפקיד ב</w:t>
      </w:r>
      <w:r w:rsidR="001F328B">
        <w:rPr>
          <w:rFonts w:hint="cs"/>
          <w:rtl/>
        </w:rPr>
        <w:t>שתי רשויות</w:t>
      </w:r>
      <w:r>
        <w:rPr>
          <w:rFonts w:hint="cs"/>
          <w:rtl/>
        </w:rPr>
        <w:t xml:space="preserve"> שונות שיש להן עניינים מנוגדים. למרות שאותו אדם אינו מרוויח שום דבר באופן אישי, הפסיקה עדיין אוסרת עליו לפעול </w:t>
      </w:r>
      <w:r w:rsidR="002A0D56">
        <w:rPr>
          <w:rFonts w:hint="cs"/>
          <w:rtl/>
        </w:rPr>
        <w:t>במצב זה.</w:t>
      </w:r>
      <w:r>
        <w:rPr>
          <w:rStyle w:val="FootnoteReference"/>
          <w:rtl/>
        </w:rPr>
        <w:footnoteReference w:id="13"/>
      </w:r>
    </w:p>
    <w:p w14:paraId="073430ED" w14:textId="3BFA1C72" w:rsidR="00F76D27" w:rsidRDefault="00F76D27" w:rsidP="002A0D56">
      <w:pPr>
        <w:rPr>
          <w:rtl/>
        </w:rPr>
      </w:pPr>
      <w:r>
        <w:rPr>
          <w:rFonts w:hint="cs"/>
          <w:rtl/>
        </w:rPr>
        <w:t>מובן שנימוקים אלה מתאימים באותה מידה גם לבית המשפט העליון וגם לממשלה; שני הצדדים נמצאים כאן בניגוד עניינים.</w:t>
      </w:r>
    </w:p>
    <w:p w14:paraId="70DCFCE7" w14:textId="1DCDE064" w:rsidR="00B135AF" w:rsidRDefault="004F6274" w:rsidP="004F6274">
      <w:pPr>
        <w:rPr>
          <w:rtl/>
        </w:rPr>
      </w:pPr>
      <w:r>
        <w:rPr>
          <w:rFonts w:hint="cs"/>
          <w:rtl/>
        </w:rPr>
        <w:t>לאחרונה הושמעה ביקורת תיאורטית על עצם החשיבות של עקרון "איש לא ישפוט בעניינו שלו". המבקר הראשי הוא פרופ' אדריאן ורמול</w:t>
      </w:r>
      <w:r w:rsidR="00A610D2">
        <w:rPr>
          <w:rFonts w:hint="cs"/>
          <w:rtl/>
        </w:rPr>
        <w:t>ה</w:t>
      </w:r>
      <w:bookmarkStart w:id="3" w:name="_Ref225284757"/>
      <w:r w:rsidR="000D4BCD">
        <w:rPr>
          <w:rFonts w:hint="cs"/>
          <w:rtl/>
        </w:rPr>
        <w:t xml:space="preserve"> מאוניברסיטת הרווארד בארה"ב</w:t>
      </w:r>
      <w:r w:rsidR="00A610D2">
        <w:rPr>
          <w:rFonts w:hint="cs"/>
          <w:rtl/>
        </w:rPr>
        <w:t>.</w:t>
      </w:r>
      <w:r>
        <w:rPr>
          <w:rStyle w:val="FootnoteReference"/>
        </w:rPr>
        <w:footnoteReference w:id="14"/>
      </w:r>
      <w:bookmarkEnd w:id="3"/>
      <w:r w:rsidR="00A610D2">
        <w:rPr>
          <w:rFonts w:hint="cs"/>
          <w:rtl/>
        </w:rPr>
        <w:t xml:space="preserve"> </w:t>
      </w:r>
      <w:r>
        <w:rPr>
          <w:rFonts w:hint="cs"/>
          <w:rtl/>
        </w:rPr>
        <w:t>הוא מביא מספר טענות נגד עקרון זה, בהקשר של מערכת המשפט בארה"ב.</w:t>
      </w:r>
    </w:p>
    <w:p w14:paraId="09D2011D" w14:textId="55DA8CF3" w:rsidR="004F6274" w:rsidRDefault="004F6274" w:rsidP="00BE35A4">
      <w:pPr>
        <w:rPr>
          <w:rtl/>
        </w:rPr>
      </w:pPr>
      <w:r w:rsidRPr="00BE35A4">
        <w:rPr>
          <w:rFonts w:hint="cs"/>
          <w:b/>
          <w:bCs/>
          <w:rtl/>
        </w:rPr>
        <w:t xml:space="preserve">טענה </w:t>
      </w:r>
      <w:r w:rsidR="00BE35A4" w:rsidRPr="00BE35A4">
        <w:rPr>
          <w:rFonts w:hint="cs"/>
          <w:b/>
          <w:bCs/>
          <w:rtl/>
        </w:rPr>
        <w:t>א</w:t>
      </w:r>
      <w:r>
        <w:rPr>
          <w:rFonts w:hint="cs"/>
          <w:rtl/>
        </w:rPr>
        <w:t>. החוק בארה"ב מאפשר ניגוד עניינים בכמה נושאים ספציפיים, כגון:</w:t>
      </w:r>
    </w:p>
    <w:p w14:paraId="66256EE1" w14:textId="51AF2B21" w:rsidR="004F6274" w:rsidRDefault="004F6274" w:rsidP="00BE35A4">
      <w:pPr>
        <w:pStyle w:val="ListParagraph"/>
        <w:numPr>
          <w:ilvl w:val="0"/>
          <w:numId w:val="1"/>
        </w:numPr>
      </w:pPr>
      <w:r>
        <w:rPr>
          <w:rFonts w:hint="cs"/>
          <w:rtl/>
        </w:rPr>
        <w:t xml:space="preserve">שופטים בכמה מדינות יכולים לפסוק בנושאים הקשורים למשכורת שלהם </w:t>
      </w:r>
      <w:r w:rsidR="00BE35A4">
        <w:rPr>
          <w:rFonts w:hint="cs"/>
          <w:rtl/>
        </w:rPr>
        <w:t xml:space="preserve">(גם בישראל, חברי־הכנסת </w:t>
      </w:r>
      <w:r w:rsidR="008A52B7">
        <w:rPr>
          <w:rFonts w:hint="cs"/>
          <w:rtl/>
        </w:rPr>
        <w:t>יכולים להגדיל את המשכורות של עצמם).</w:t>
      </w:r>
    </w:p>
    <w:p w14:paraId="1F2137C9" w14:textId="7EBE47D4" w:rsidR="008A52B7" w:rsidRDefault="008A52B7" w:rsidP="00BE35A4">
      <w:pPr>
        <w:pStyle w:val="ListParagraph"/>
        <w:numPr>
          <w:ilvl w:val="0"/>
          <w:numId w:val="1"/>
        </w:numPr>
      </w:pPr>
      <w:r>
        <w:rPr>
          <w:rFonts w:hint="cs"/>
          <w:rtl/>
        </w:rPr>
        <w:t xml:space="preserve">מושלי מדינות יכולים לקבוע את גבולות המחוזות במדינות שלהם </w:t>
      </w:r>
      <w:r>
        <w:rPr>
          <w:rtl/>
        </w:rPr>
        <w:t>–</w:t>
      </w:r>
      <w:r>
        <w:rPr>
          <w:rFonts w:hint="cs"/>
          <w:rtl/>
        </w:rPr>
        <w:t xml:space="preserve"> תהליך הנקרא </w:t>
      </w:r>
      <w:r>
        <w:t>redistricting</w:t>
      </w:r>
      <w:r>
        <w:rPr>
          <w:rFonts w:hint="cs"/>
          <w:rtl/>
        </w:rPr>
        <w:t xml:space="preserve"> ועשוי להשפיע משמעותית על תוצאות הבחירות.</w:t>
      </w:r>
    </w:p>
    <w:p w14:paraId="017A56B6" w14:textId="66E6C5DF" w:rsidR="00C31D0E" w:rsidRDefault="00C31D0E" w:rsidP="00BE35A4">
      <w:pPr>
        <w:pStyle w:val="ListParagraph"/>
        <w:numPr>
          <w:ilvl w:val="0"/>
          <w:numId w:val="1"/>
        </w:numPr>
      </w:pPr>
      <w:r>
        <w:rPr>
          <w:rFonts w:hint="cs"/>
          <w:rtl/>
        </w:rPr>
        <w:t>נשיא ארה"ב רשאי לתת חנינה לקרוביו וחבריו, ולפי חלק מהדעות אף לעצמו.</w:t>
      </w:r>
    </w:p>
    <w:p w14:paraId="15539282" w14:textId="4CC1C46E" w:rsidR="008A52B7" w:rsidRDefault="008A52B7" w:rsidP="008A52B7">
      <w:pPr>
        <w:rPr>
          <w:rtl/>
        </w:rPr>
      </w:pPr>
      <w:r>
        <w:rPr>
          <w:rFonts w:hint="cs"/>
          <w:rtl/>
        </w:rPr>
        <w:t xml:space="preserve">בעיניי טענה זו אינה משכנעת. מצב שבו אדם לפסוק לגבי עצמו הוא פרצה, המאפשרת לשחיתות ועיוות הדין להיכנס למערכת. העובדה שכבר יש כמה פרצות, אין משמעה שצריך לאפשר פרצות נוספות. ההיפך הוא הנכון: יש למהר ולסתום את הפרצות הקיימות. </w:t>
      </w:r>
      <w:r w:rsidR="00FD6D16">
        <w:rPr>
          <w:rFonts w:hint="cs"/>
          <w:rtl/>
        </w:rPr>
        <w:t xml:space="preserve">גם אם אין שחיתות בפועל, המצב של פסיקה בניגוד עניינים גורם לביקורת ציבורית רבה וערעור אמון הציבור במוסדות השלטון. כך למשל, </w:t>
      </w:r>
      <w:r w:rsidR="00106C5C">
        <w:rPr>
          <w:rFonts w:hint="cs"/>
          <w:rtl/>
        </w:rPr>
        <w:t>תהליך חלוקת המחוזות מעורר ביקורת ציבורית רבה בארה"ב;</w:t>
      </w:r>
      <w:r w:rsidR="00106C5C">
        <w:rPr>
          <w:rStyle w:val="FootnoteReference"/>
          <w:rtl/>
        </w:rPr>
        <w:footnoteReference w:id="15"/>
      </w:r>
      <w:r w:rsidR="00106C5C">
        <w:rPr>
          <w:rFonts w:hint="cs"/>
          <w:rtl/>
        </w:rPr>
        <w:t xml:space="preserve"> </w:t>
      </w:r>
      <w:r>
        <w:rPr>
          <w:rFonts w:hint="cs"/>
          <w:rtl/>
        </w:rPr>
        <w:t xml:space="preserve">המצב שבו חברי־הכנסת קובעים את השכר של עצמם מעורר ביקורת ציבורית רבה בישראל; </w:t>
      </w:r>
      <w:r w:rsidR="00132511">
        <w:rPr>
          <w:rFonts w:hint="cs"/>
          <w:rtl/>
        </w:rPr>
        <w:t xml:space="preserve">ואפשר רק לדמיין איזו </w:t>
      </w:r>
      <w:r w:rsidR="00A44427">
        <w:rPr>
          <w:rFonts w:hint="cs"/>
          <w:rtl/>
        </w:rPr>
        <w:t xml:space="preserve">סערה </w:t>
      </w:r>
      <w:r w:rsidR="00132511">
        <w:rPr>
          <w:rFonts w:hint="cs"/>
          <w:rtl/>
        </w:rPr>
        <w:t xml:space="preserve">ציבורית הייתה מתעוררת בישראל אילו לראש הממשלה </w:t>
      </w:r>
      <w:r w:rsidR="00D447A8">
        <w:rPr>
          <w:rFonts w:hint="cs"/>
          <w:rtl/>
        </w:rPr>
        <w:t xml:space="preserve">נתניהו </w:t>
      </w:r>
      <w:r w:rsidR="00132511">
        <w:rPr>
          <w:rFonts w:hint="cs"/>
          <w:rtl/>
        </w:rPr>
        <w:t>הייתה סמכות לתת חנינה לעצמו...</w:t>
      </w:r>
    </w:p>
    <w:p w14:paraId="7793468F" w14:textId="2EE40AA7" w:rsidR="00805A8F" w:rsidRDefault="00CF649B" w:rsidP="008A52B7">
      <w:pPr>
        <w:rPr>
          <w:rtl/>
        </w:rPr>
      </w:pPr>
      <w:r w:rsidRPr="00CF649B">
        <w:rPr>
          <w:rFonts w:hint="cs"/>
          <w:b/>
          <w:bCs/>
          <w:rtl/>
        </w:rPr>
        <w:t xml:space="preserve">טענה </w:t>
      </w:r>
      <w:r w:rsidR="003B3C87">
        <w:rPr>
          <w:rFonts w:hint="cs"/>
          <w:b/>
          <w:bCs/>
          <w:rtl/>
        </w:rPr>
        <w:t>ב</w:t>
      </w:r>
      <w:r>
        <w:rPr>
          <w:rFonts w:hint="cs"/>
          <w:rtl/>
        </w:rPr>
        <w:t>: יש מצבים שבהם אי־אפשר להימנע מניגוד עניינים, שכן לכל הצדדים המסוגלים לשפוט בנושא זה ישנו ניגוד עניינים כלשהו. לדוגמה</w:t>
      </w:r>
      <w:r w:rsidR="00F73F87">
        <w:rPr>
          <w:rFonts w:hint="cs"/>
          <w:rtl/>
        </w:rPr>
        <w:t>, בסוגיית הביקורת השיפוטית של בית־משפט פדרלי על בית־משפט מדינתי, לשני הצדדים יש עניין בהגדלת הסמכויות של עצמם, ולכן אי־אפשר להימנע מניגוד עניינים.</w:t>
      </w:r>
      <w:r>
        <w:rPr>
          <w:rFonts w:hint="cs"/>
          <w:rtl/>
        </w:rPr>
        <w:t xml:space="preserve"> </w:t>
      </w:r>
      <w:r w:rsidR="00805A8F">
        <w:rPr>
          <w:rFonts w:hint="cs"/>
          <w:rtl/>
        </w:rPr>
        <w:t>ההצעה שבמאמר זה מתייחסת ישירות לבעיה זו בכך שהיא מציעה הצעה קונקרטית המאפשרת להימנע מניגוד</w:t>
      </w:r>
      <w:r w:rsidR="00016317">
        <w:rPr>
          <w:rFonts w:hint="cs"/>
          <w:rtl/>
        </w:rPr>
        <w:t xml:space="preserve"> </w:t>
      </w:r>
      <w:r w:rsidR="00805A8F">
        <w:rPr>
          <w:rFonts w:hint="cs"/>
          <w:rtl/>
        </w:rPr>
        <w:t xml:space="preserve">עניינים: העברת ההחלטה לציבור ע"י משאל עם. </w:t>
      </w:r>
    </w:p>
    <w:p w14:paraId="13E527D2" w14:textId="49556FA7" w:rsidR="001E6167" w:rsidRDefault="00622926" w:rsidP="001E6167">
      <w:pPr>
        <w:rPr>
          <w:rtl/>
        </w:rPr>
      </w:pPr>
      <w:r w:rsidRPr="00622926">
        <w:rPr>
          <w:rFonts w:hint="cs"/>
          <w:b/>
          <w:bCs/>
          <w:rtl/>
        </w:rPr>
        <w:t xml:space="preserve">טענה </w:t>
      </w:r>
      <w:r w:rsidR="003B3C87">
        <w:rPr>
          <w:rFonts w:hint="cs"/>
          <w:b/>
          <w:bCs/>
          <w:rtl/>
        </w:rPr>
        <w:t>ג</w:t>
      </w:r>
      <w:r>
        <w:rPr>
          <w:rFonts w:hint="cs"/>
          <w:rtl/>
        </w:rPr>
        <w:t>:</w:t>
      </w:r>
      <w:r>
        <w:t xml:space="preserve"> </w:t>
      </w:r>
      <w:r>
        <w:rPr>
          <w:rFonts w:hint="cs"/>
          <w:rtl/>
        </w:rPr>
        <w:t xml:space="preserve">יש מצבים שבהם </w:t>
      </w:r>
      <w:r w:rsidR="00F30F5A">
        <w:rPr>
          <w:rFonts w:hint="cs"/>
          <w:rtl/>
        </w:rPr>
        <w:t>החלופה ל</w:t>
      </w:r>
      <w:r>
        <w:rPr>
          <w:rFonts w:hint="cs"/>
          <w:rtl/>
        </w:rPr>
        <w:t xml:space="preserve">ניגוד עניינים </w:t>
      </w:r>
      <w:r w:rsidR="00F30F5A">
        <w:rPr>
          <w:rFonts w:hint="cs"/>
          <w:rtl/>
        </w:rPr>
        <w:t xml:space="preserve">היא </w:t>
      </w:r>
      <w:r>
        <w:rPr>
          <w:rFonts w:hint="cs"/>
          <w:rtl/>
        </w:rPr>
        <w:t>יקרה מדי</w:t>
      </w:r>
      <w:r w:rsidR="001E6167">
        <w:rPr>
          <w:rFonts w:hint="cs"/>
          <w:rtl/>
        </w:rPr>
        <w:t xml:space="preserve">. אכן, משאל עם הוא דבר יקר, אם־כי העלות המדויקת שלו תלויה בפרטי הביצוע (לדוגמה, אם יום המשאל לא יוכרז כיום שבתון, העלות תהיה </w:t>
      </w:r>
      <w:r w:rsidR="001E6167">
        <w:rPr>
          <w:rFonts w:hint="cs"/>
          <w:rtl/>
        </w:rPr>
        <w:lastRenderedPageBreak/>
        <w:t xml:space="preserve">הרבה יותר קטנה; שימוש בכלי הצבעה אלקטרוניים יכול גם הוא להקטין את עלות המשאל). </w:t>
      </w:r>
      <w:r w:rsidR="00F30F5A">
        <w:rPr>
          <w:rFonts w:hint="cs"/>
          <w:rtl/>
        </w:rPr>
        <w:t xml:space="preserve">אבל מאבק בין רשויות השלטון עלול </w:t>
      </w:r>
      <w:r w:rsidR="00B751DE">
        <w:rPr>
          <w:rFonts w:hint="cs"/>
          <w:rtl/>
        </w:rPr>
        <w:t xml:space="preserve">להביא למשבר חוקתי, שתוצאתו עלולה להיות </w:t>
      </w:r>
      <w:r w:rsidR="00F30F5A">
        <w:rPr>
          <w:rFonts w:hint="cs"/>
          <w:rtl/>
        </w:rPr>
        <w:t xml:space="preserve">יקרה </w:t>
      </w:r>
      <w:r w:rsidR="00B751DE">
        <w:rPr>
          <w:rFonts w:hint="cs"/>
          <w:rtl/>
        </w:rPr>
        <w:t xml:space="preserve">הרבה </w:t>
      </w:r>
      <w:r w:rsidR="00F30F5A">
        <w:rPr>
          <w:rFonts w:hint="cs"/>
          <w:rtl/>
        </w:rPr>
        <w:t>יותר.</w:t>
      </w:r>
    </w:p>
    <w:p w14:paraId="67BB2CA1" w14:textId="3CF4A639" w:rsidR="00860672" w:rsidRPr="009D2FF8" w:rsidRDefault="00860672" w:rsidP="00860672">
      <w:pPr>
        <w:pStyle w:val="Heading3"/>
        <w:rPr>
          <w:rtl/>
        </w:rPr>
      </w:pPr>
      <w:r>
        <w:rPr>
          <w:rFonts w:hint="cs"/>
          <w:rtl/>
        </w:rPr>
        <w:t xml:space="preserve">א. 2. </w:t>
      </w:r>
      <w:r w:rsidR="00705DB9">
        <w:rPr>
          <w:rFonts w:hint="cs"/>
          <w:rtl/>
        </w:rPr>
        <w:t>בעיית השליט העליון</w:t>
      </w:r>
    </w:p>
    <w:p w14:paraId="60114645" w14:textId="77777777" w:rsidR="005F7833" w:rsidRDefault="00916373" w:rsidP="00D87E1B">
      <w:pPr>
        <w:rPr>
          <w:rtl/>
        </w:rPr>
      </w:pPr>
      <w:r>
        <w:rPr>
          <w:rFonts w:hint="cs"/>
          <w:rtl/>
        </w:rPr>
        <w:t xml:space="preserve">בעניין הסבירות ישנו ממד נוסף, שאינו קיים במקרים אחרים של ניגוד עניינים. ניגוד עניינים "רגיל" מתייחס לסוגיה נקודתית </w:t>
      </w:r>
      <w:r w:rsidR="003E76CD">
        <w:rPr>
          <w:rFonts w:hint="cs"/>
          <w:rtl/>
        </w:rPr>
        <w:t xml:space="preserve">ותלויה בזמן, </w:t>
      </w:r>
      <w:r>
        <w:rPr>
          <w:rFonts w:hint="cs"/>
          <w:rtl/>
        </w:rPr>
        <w:t>כגון:</w:t>
      </w:r>
      <w:r>
        <w:t xml:space="preserve"> </w:t>
      </w:r>
      <w:r>
        <w:rPr>
          <w:rFonts w:hint="cs"/>
          <w:rtl/>
        </w:rPr>
        <w:t>משכורות השופטים, חלוקת המחוזות לקראת הבחירות הקרובות</w:t>
      </w:r>
      <w:r w:rsidR="003E76CD">
        <w:rPr>
          <w:rFonts w:hint="cs"/>
          <w:rtl/>
        </w:rPr>
        <w:t>, או חנינה לאדם מסוים</w:t>
      </w:r>
      <w:r>
        <w:rPr>
          <w:rFonts w:hint="cs"/>
          <w:rtl/>
        </w:rPr>
        <w:t xml:space="preserve">. </w:t>
      </w:r>
      <w:r w:rsidR="005472E2">
        <w:rPr>
          <w:rFonts w:hint="cs"/>
          <w:rtl/>
        </w:rPr>
        <w:t xml:space="preserve">אבל עניין הסבירות מגדיר את גבולות הסמכות בין הרשויות באופן קבוע. </w:t>
      </w:r>
    </w:p>
    <w:p w14:paraId="4F04F8E8" w14:textId="314AD459" w:rsidR="005F7833" w:rsidRDefault="00F52D07" w:rsidP="00D87E1B">
      <w:pPr>
        <w:rPr>
          <w:rtl/>
        </w:rPr>
      </w:pPr>
      <w:r>
        <w:rPr>
          <w:rFonts w:hint="cs"/>
          <w:rtl/>
        </w:rPr>
        <w:t xml:space="preserve">כאשר רשות מסוימת נוטלת לעצמה את הזכות להרחיב את גבולות הסמכות של עצמה, </w:t>
      </w:r>
      <w:r w:rsidR="004A2117">
        <w:rPr>
          <w:rFonts w:hint="cs"/>
          <w:rtl/>
        </w:rPr>
        <w:t xml:space="preserve">היא מתעלמת מהעובדה שכל כוחה נובע מהסכמת הציבור. זהו עקרון יסוד של </w:t>
      </w:r>
      <w:r>
        <w:rPr>
          <w:rFonts w:hint="cs"/>
          <w:rtl/>
        </w:rPr>
        <w:t>הדמוקרטיה</w:t>
      </w:r>
      <w:r w:rsidR="004A2117">
        <w:rPr>
          <w:rFonts w:hint="cs"/>
          <w:rtl/>
        </w:rPr>
        <w:t xml:space="preserve">: </w:t>
      </w:r>
      <w:r>
        <w:rPr>
          <w:rFonts w:hint="cs"/>
          <w:rtl/>
        </w:rPr>
        <w:t xml:space="preserve">העם הוא הריבון, ורק העם רשאי להעניק סמכויות לרשויות השלטון השונות. </w:t>
      </w:r>
      <w:r w:rsidR="005F7833">
        <w:rPr>
          <w:rFonts w:hint="cs"/>
          <w:rtl/>
        </w:rPr>
        <w:t xml:space="preserve">רשות זו למעשה מציבה את עצמה מעל העם, כשליט עליון. </w:t>
      </w:r>
    </w:p>
    <w:p w14:paraId="323FDC26" w14:textId="1E0DCD38" w:rsidR="00AD679F" w:rsidRDefault="00F52D07" w:rsidP="00D87E1B">
      <w:pPr>
        <w:rPr>
          <w:rtl/>
        </w:rPr>
      </w:pPr>
      <w:r>
        <w:rPr>
          <w:rFonts w:hint="cs"/>
          <w:rtl/>
        </w:rPr>
        <w:t xml:space="preserve">עמד על כך בהרחבה </w:t>
      </w:r>
      <w:r w:rsidR="005472E2">
        <w:rPr>
          <w:rFonts w:hint="cs"/>
          <w:rtl/>
        </w:rPr>
        <w:t xml:space="preserve">פרופ' </w:t>
      </w:r>
      <w:r w:rsidR="00916373">
        <w:rPr>
          <w:rFonts w:hint="cs"/>
          <w:rtl/>
        </w:rPr>
        <w:t>ג'רמי וולדרון</w:t>
      </w:r>
      <w:r w:rsidR="005472E2">
        <w:rPr>
          <w:rStyle w:val="FootnoteReference"/>
        </w:rPr>
        <w:footnoteReference w:id="16"/>
      </w:r>
      <w:r>
        <w:rPr>
          <w:rFonts w:hint="cs"/>
          <w:rtl/>
        </w:rPr>
        <w:t xml:space="preserve"> מאוניברסיטת ניו-יורק. במאמרו משנת 2014, הוא מבחין בין </w:t>
      </w:r>
      <w:r w:rsidRPr="00F52D07">
        <w:rPr>
          <w:rFonts w:hint="cs"/>
          <w:i/>
          <w:iCs/>
          <w:rtl/>
        </w:rPr>
        <w:t>ביקורת שיפוטית</w:t>
      </w:r>
      <w:r>
        <w:rPr>
          <w:rFonts w:hint="cs"/>
          <w:rtl/>
        </w:rPr>
        <w:t xml:space="preserve"> לבין </w:t>
      </w:r>
      <w:r w:rsidRPr="00F52D07">
        <w:rPr>
          <w:rFonts w:hint="cs"/>
          <w:i/>
          <w:iCs/>
          <w:rtl/>
        </w:rPr>
        <w:t>עליונות שיפוטית</w:t>
      </w:r>
      <w:r>
        <w:rPr>
          <w:rFonts w:hint="cs"/>
          <w:rtl/>
        </w:rPr>
        <w:t>: ביקורת שיפוטית מאפשרת לשופטים לבטל חוקים נקודתיים שחוקקו בבית הנבחרים, אולם עליונות שיפוטית מאפשרת לשופטים לבצע שינויים בעצם מהותו של המשטר</w:t>
      </w:r>
      <w:r w:rsidR="003C1A65">
        <w:rPr>
          <w:rFonts w:hint="cs"/>
          <w:rtl/>
        </w:rPr>
        <w:t>, ובכך מבטלת את עקרון ריבונות העם</w:t>
      </w:r>
      <w:r w:rsidR="00D87E1B">
        <w:rPr>
          <w:rFonts w:hint="cs"/>
          <w:rtl/>
        </w:rPr>
        <w:t xml:space="preserve">. לטענתו, יש להתנגד ל"עליונות שיפוטית" בדיוק כפי שהיינו מתנגדים לעליונות של מונארך או </w:t>
      </w:r>
      <w:r w:rsidR="00771DA0">
        <w:rPr>
          <w:rFonts w:hint="cs"/>
          <w:rtl/>
        </w:rPr>
        <w:t xml:space="preserve">של ראש הצבא או של </w:t>
      </w:r>
      <w:r w:rsidR="00D87E1B">
        <w:rPr>
          <w:rFonts w:hint="cs"/>
          <w:rtl/>
        </w:rPr>
        <w:t xml:space="preserve">כל </w:t>
      </w:r>
      <w:r w:rsidR="00243A69">
        <w:rPr>
          <w:rFonts w:hint="cs"/>
          <w:rtl/>
        </w:rPr>
        <w:t xml:space="preserve">מנהיג </w:t>
      </w:r>
      <w:r w:rsidR="00D87E1B">
        <w:rPr>
          <w:rFonts w:hint="cs"/>
          <w:rtl/>
        </w:rPr>
        <w:t xml:space="preserve">אחר שלא נבחר </w:t>
      </w:r>
      <w:r w:rsidR="00AD679F">
        <w:rPr>
          <w:rFonts w:hint="cs"/>
          <w:rtl/>
        </w:rPr>
        <w:t xml:space="preserve">בידי </w:t>
      </w:r>
      <w:r w:rsidR="00D87E1B">
        <w:rPr>
          <w:rFonts w:hint="cs"/>
          <w:rtl/>
        </w:rPr>
        <w:t>הציבור</w:t>
      </w:r>
      <w:r w:rsidR="001F3346">
        <w:rPr>
          <w:rFonts w:hint="cs"/>
          <w:rtl/>
        </w:rPr>
        <w:t>.</w:t>
      </w:r>
      <w:r w:rsidR="00D87E1B">
        <w:rPr>
          <w:rFonts w:hint="cs"/>
          <w:rtl/>
        </w:rPr>
        <w:t xml:space="preserve"> </w:t>
      </w:r>
    </w:p>
    <w:p w14:paraId="3A0DBB09" w14:textId="1AE85368" w:rsidR="00FD6E2B" w:rsidRDefault="00FD6E2B" w:rsidP="00FD6E2B">
      <w:pPr>
        <w:pStyle w:val="Heading3"/>
        <w:rPr>
          <w:rtl/>
        </w:rPr>
      </w:pPr>
      <w:r>
        <w:rPr>
          <w:rFonts w:hint="cs"/>
          <w:rtl/>
        </w:rPr>
        <w:t>א. 3. בעיית הלגיטימציה</w:t>
      </w:r>
    </w:p>
    <w:p w14:paraId="2368FF9B" w14:textId="63C7B364" w:rsidR="00B500B1" w:rsidRDefault="00C1776C" w:rsidP="00FD6E2B">
      <w:pPr>
        <w:rPr>
          <w:rtl/>
        </w:rPr>
      </w:pPr>
      <w:r>
        <w:rPr>
          <w:rFonts w:hint="cs"/>
          <w:rtl/>
        </w:rPr>
        <w:t xml:space="preserve">בשנת 2024 חזר וולדרון חזר לסוגיה זו במאמר על משבר הביקורת השיפוטית, שבו הוא מתייחס </w:t>
      </w:r>
      <w:r w:rsidR="005A1818">
        <w:rPr>
          <w:rFonts w:hint="cs"/>
          <w:rtl/>
        </w:rPr>
        <w:t xml:space="preserve">גם לארה"ב וגם </w:t>
      </w:r>
      <w:r w:rsidR="0084013F">
        <w:rPr>
          <w:rFonts w:hint="cs"/>
          <w:rtl/>
        </w:rPr>
        <w:t xml:space="preserve">למאבק על הרפורמה המשפטית בישראל </w:t>
      </w:r>
      <w:r>
        <w:rPr>
          <w:rFonts w:hint="cs"/>
          <w:rtl/>
        </w:rPr>
        <w:t>כדוגמה מובהקת לבעיה.</w:t>
      </w:r>
      <w:r>
        <w:rPr>
          <w:rStyle w:val="FootnoteReference"/>
        </w:rPr>
        <w:footnoteReference w:id="17"/>
      </w:r>
      <w:r>
        <w:rPr>
          <w:rFonts w:hint="cs"/>
          <w:rtl/>
        </w:rPr>
        <w:t xml:space="preserve"> </w:t>
      </w:r>
      <w:r w:rsidR="005A1818">
        <w:rPr>
          <w:rFonts w:hint="cs"/>
          <w:rtl/>
        </w:rPr>
        <w:t>וולדרון מדגיש שם את חשיבות ה</w:t>
      </w:r>
      <w:r w:rsidR="005A1818" w:rsidRPr="005A1818">
        <w:rPr>
          <w:rFonts w:hint="cs"/>
          <w:i/>
          <w:iCs/>
          <w:rtl/>
        </w:rPr>
        <w:t>לגיטימציה</w:t>
      </w:r>
      <w:r w:rsidR="005A1818">
        <w:rPr>
          <w:rFonts w:hint="cs"/>
          <w:rtl/>
        </w:rPr>
        <w:t xml:space="preserve"> לקיומו של כל משטר. לגיטימציה היא ההכרה, שיש לכבד את ההחלטות של רשויות השלטון השונות, גם אם </w:t>
      </w:r>
      <w:r w:rsidR="005A1818" w:rsidRPr="005A1818">
        <w:rPr>
          <w:rFonts w:hint="cs"/>
          <w:i/>
          <w:iCs/>
          <w:rtl/>
        </w:rPr>
        <w:t>אינני מסכים</w:t>
      </w:r>
      <w:r w:rsidR="005A1818">
        <w:rPr>
          <w:rFonts w:hint="cs"/>
          <w:rtl/>
        </w:rPr>
        <w:t xml:space="preserve"> עם תוכנן. לפיכך, הלגיטימציה אינה יכולה להסתמך על </w:t>
      </w:r>
      <w:r w:rsidR="005A1818" w:rsidRPr="005A1818">
        <w:rPr>
          <w:rFonts w:hint="cs"/>
          <w:i/>
          <w:iCs/>
          <w:rtl/>
        </w:rPr>
        <w:t>תוכן</w:t>
      </w:r>
      <w:r w:rsidR="005A1818">
        <w:rPr>
          <w:rFonts w:hint="cs"/>
          <w:rtl/>
        </w:rPr>
        <w:t xml:space="preserve"> ההחלטה, אלא רק על </w:t>
      </w:r>
      <w:r w:rsidR="005A1818" w:rsidRPr="005A1818">
        <w:rPr>
          <w:rFonts w:hint="cs"/>
          <w:i/>
          <w:iCs/>
          <w:rtl/>
        </w:rPr>
        <w:t>התהליך</w:t>
      </w:r>
      <w:r w:rsidR="005A1818">
        <w:rPr>
          <w:rFonts w:hint="cs"/>
          <w:rtl/>
        </w:rPr>
        <w:t xml:space="preserve"> שבו ההחלטה התקבלה. </w:t>
      </w:r>
    </w:p>
    <w:p w14:paraId="6B3B2CEE" w14:textId="054C509B" w:rsidR="00FD6E2B" w:rsidRDefault="00FD6E2B" w:rsidP="00FD6E2B">
      <w:pPr>
        <w:rPr>
          <w:rtl/>
        </w:rPr>
      </w:pPr>
      <w:r>
        <w:rPr>
          <w:rFonts w:hint="cs"/>
          <w:rtl/>
        </w:rPr>
        <w:t xml:space="preserve">להחלטה שהתקבלה בבחירות או במשאל עם יש רמה גבוהה של לגיטימציה, מעצם העובדה שלכל אזרח יש אפשרות שווה להשפיע על התוצאות. זאת בניגוד להחלטה שהתקבלה על־ידי קבוצה קטנה של מחליטים בכנסת או בבית המשפט, שבה לרוב האזרחים אין אפשרות להשפעה ישירה. </w:t>
      </w:r>
    </w:p>
    <w:p w14:paraId="4946E04E" w14:textId="7F39E60B" w:rsidR="00FD6E2B" w:rsidRDefault="00FD6E2B" w:rsidP="00FD6E2B">
      <w:pPr>
        <w:rPr>
          <w:rtl/>
        </w:rPr>
      </w:pPr>
      <w:r>
        <w:rPr>
          <w:rFonts w:hint="cs"/>
          <w:rtl/>
        </w:rPr>
        <w:t>הלגיטימציה חשובה במיוחד בהחלטות הנוגעות לגבולות הסמכות בין הרשויות, שכן יש להחלטות אלו יש השלכה על הלגיטימציה של כל החלטה עתידית: אם ההחלטה בנושא עילת הסבירות אינה לגיטימית, אז גם כל החלטה עתידית המסתמכת על עילה זו אינה לגיטימית. לכן דווקא בנושא זה חשוב לקבל החלטה במנגנון שהלגיטימציה שלו גדולה ביותר.</w:t>
      </w:r>
    </w:p>
    <w:p w14:paraId="6BB5599A" w14:textId="09CE1D24" w:rsidR="00FA39D0" w:rsidRDefault="00FA39D0" w:rsidP="00FA39D0">
      <w:pPr>
        <w:rPr>
          <w:rtl/>
        </w:rPr>
      </w:pPr>
      <w:r>
        <w:rPr>
          <w:rFonts w:hint="cs"/>
          <w:rtl/>
        </w:rPr>
        <w:t xml:space="preserve">לסיכום: הסמכות של כל רשויות השלטון נובעת מהעם. לכן לא ייתכן שרשות שלטונית כלשהי, בין אם זו הממשלה או מערכת המשפט, תקבע את גבולות הסמכות שלה עצמה. הדבר גם אבסורדי מצד עצמו, </w:t>
      </w:r>
      <w:r w:rsidR="00BE48DB">
        <w:rPr>
          <w:rFonts w:hint="cs"/>
          <w:rtl/>
        </w:rPr>
        <w:t>וגם נגוע בניגוד עניינים. יש למצוא חלופה טובה יותר להכרעה בסוגיה זו</w:t>
      </w:r>
      <w:r w:rsidR="00C94B53">
        <w:rPr>
          <w:rFonts w:hint="cs"/>
          <w:rtl/>
        </w:rPr>
        <w:t xml:space="preserve">. </w:t>
      </w:r>
      <w:r w:rsidR="00BE48DB">
        <w:rPr>
          <w:rFonts w:hint="cs"/>
          <w:rtl/>
        </w:rPr>
        <w:t>לכך מוקדש הפרק הבא.</w:t>
      </w:r>
    </w:p>
    <w:p w14:paraId="5754D3B2" w14:textId="40451205" w:rsidR="00953D11" w:rsidRPr="00D7238E" w:rsidRDefault="00C22901" w:rsidP="00953D11">
      <w:pPr>
        <w:pStyle w:val="Heading2"/>
        <w:rPr>
          <w:rtl/>
        </w:rPr>
      </w:pPr>
      <w:r>
        <w:rPr>
          <w:rFonts w:hint="cs"/>
          <w:rtl/>
        </w:rPr>
        <w:lastRenderedPageBreak/>
        <w:t>ב</w:t>
      </w:r>
      <w:r w:rsidR="00953D11">
        <w:rPr>
          <w:rFonts w:hint="cs"/>
          <w:rtl/>
        </w:rPr>
        <w:t xml:space="preserve">. </w:t>
      </w:r>
      <w:r w:rsidR="009307DD">
        <w:rPr>
          <w:rFonts w:hint="cs"/>
          <w:rtl/>
        </w:rPr>
        <w:t>הפתרון המוצע</w:t>
      </w:r>
      <w:r w:rsidR="00151296">
        <w:rPr>
          <w:rFonts w:hint="cs"/>
          <w:rtl/>
        </w:rPr>
        <w:t xml:space="preserve"> </w:t>
      </w:r>
      <w:r w:rsidR="00151296">
        <w:rPr>
          <w:rtl/>
        </w:rPr>
        <w:t>–</w:t>
      </w:r>
      <w:r w:rsidR="00151296">
        <w:rPr>
          <w:rFonts w:hint="cs"/>
          <w:rtl/>
        </w:rPr>
        <w:t xml:space="preserve"> משאל עם</w:t>
      </w:r>
    </w:p>
    <w:p w14:paraId="4704ADE9" w14:textId="2CC0215E" w:rsidR="00823898" w:rsidRDefault="00913C51" w:rsidP="00913C51">
      <w:pPr>
        <w:pStyle w:val="Heading3"/>
        <w:rPr>
          <w:rtl/>
        </w:rPr>
      </w:pPr>
      <w:r>
        <w:rPr>
          <w:rFonts w:hint="cs"/>
          <w:rtl/>
        </w:rPr>
        <w:t xml:space="preserve">ב. </w:t>
      </w:r>
      <w:r w:rsidR="00823898">
        <w:rPr>
          <w:rFonts w:hint="cs"/>
          <w:rtl/>
        </w:rPr>
        <w:t>1. משאלי</w:t>
      </w:r>
      <w:r w:rsidR="000A366F">
        <w:rPr>
          <w:rFonts w:hint="cs"/>
          <w:rtl/>
        </w:rPr>
        <w:t xml:space="preserve"> </w:t>
      </w:r>
      <w:r w:rsidR="00823898">
        <w:rPr>
          <w:rFonts w:hint="cs"/>
          <w:rtl/>
        </w:rPr>
        <w:t>עם בעולם</w:t>
      </w:r>
    </w:p>
    <w:p w14:paraId="6C4A3598" w14:textId="51C988A7" w:rsidR="00B135AF" w:rsidRDefault="00B97574" w:rsidP="00770777">
      <w:pPr>
        <w:rPr>
          <w:rtl/>
        </w:rPr>
      </w:pPr>
      <w:r>
        <w:rPr>
          <w:rFonts w:hint="cs"/>
          <w:rtl/>
        </w:rPr>
        <w:t>שימוש במשאל עם בתהליך של שינוי חוקה נמצא ב</w:t>
      </w:r>
      <w:r w:rsidR="00365038">
        <w:rPr>
          <w:rFonts w:hint="cs"/>
          <w:rtl/>
        </w:rPr>
        <w:t xml:space="preserve">חוקות של </w:t>
      </w:r>
      <w:r w:rsidR="00F30F5A">
        <w:rPr>
          <w:rFonts w:hint="cs"/>
          <w:rtl/>
        </w:rPr>
        <w:t>כ־40%</w:t>
      </w:r>
      <w:r w:rsidR="00365038">
        <w:rPr>
          <w:rFonts w:hint="cs"/>
          <w:rtl/>
        </w:rPr>
        <w:t xml:space="preserve"> מהמדינות בעולם</w:t>
      </w:r>
      <w:r w:rsidR="007D0BB7">
        <w:rPr>
          <w:rFonts w:hint="cs"/>
          <w:rtl/>
        </w:rPr>
        <w:t>.</w:t>
      </w:r>
      <w:r w:rsidR="00365038">
        <w:rPr>
          <w:rFonts w:hint="cs"/>
          <w:rtl/>
        </w:rPr>
        <w:t xml:space="preserve"> </w:t>
      </w:r>
      <w:r>
        <w:rPr>
          <w:rFonts w:hint="cs"/>
          <w:rtl/>
        </w:rPr>
        <w:t xml:space="preserve">ישנן חוקות המחייבות משאל עם על כל שינוי, אף הקטן ביותר </w:t>
      </w:r>
      <w:r w:rsidR="005348DC">
        <w:rPr>
          <w:rFonts w:hint="cs"/>
          <w:rtl/>
        </w:rPr>
        <w:t>(כגון אוסטרליה, דנמרק, אירלנד ויפן); ישנן חוקות המחייבות משאל עם רק אם השינוי לא זכה לרוב מספיק גדול בפרלמנט (כגון לוקסמבורג, שוודיה ואיטליה); וישנם מודלים נוספים.</w:t>
      </w:r>
      <w:r w:rsidR="000B1C5C">
        <w:rPr>
          <w:rStyle w:val="FootnoteReference"/>
          <w:rtl/>
        </w:rPr>
        <w:footnoteReference w:id="18"/>
      </w:r>
      <w:r w:rsidR="005348DC">
        <w:rPr>
          <w:rFonts w:hint="cs"/>
          <w:rtl/>
        </w:rPr>
        <w:t xml:space="preserve"> </w:t>
      </w:r>
      <w:r w:rsidR="007D0BB7">
        <w:rPr>
          <w:rFonts w:hint="cs"/>
          <w:rtl/>
        </w:rPr>
        <w:t xml:space="preserve">שינוי חוקת ארה"ב אינו דורש משאל עם, אבל שינוי בחוקה של 49 מתוך </w:t>
      </w:r>
      <w:r w:rsidR="000B1C5C">
        <w:rPr>
          <w:rFonts w:hint="cs"/>
          <w:rtl/>
        </w:rPr>
        <w:t xml:space="preserve">50 </w:t>
      </w:r>
      <w:r w:rsidR="007D0BB7">
        <w:rPr>
          <w:rFonts w:hint="cs"/>
          <w:rtl/>
        </w:rPr>
        <w:t>מדינות ארה"ב כן דורש משאל עם.</w:t>
      </w:r>
      <w:bookmarkStart w:id="4" w:name="_Ref227791324"/>
      <w:r w:rsidR="007D0BB7">
        <w:rPr>
          <w:rStyle w:val="FootnoteReference"/>
          <w:rtl/>
        </w:rPr>
        <w:footnoteReference w:id="19"/>
      </w:r>
      <w:bookmarkEnd w:id="4"/>
      <w:r w:rsidR="000B1C5C">
        <w:rPr>
          <w:rFonts w:hint="cs"/>
          <w:rtl/>
        </w:rPr>
        <w:t xml:space="preserve"> </w:t>
      </w:r>
      <w:r w:rsidR="00670BE8">
        <w:rPr>
          <w:rFonts w:hint="cs"/>
          <w:rtl/>
        </w:rPr>
        <w:t xml:space="preserve">אילו ישראל הייתה הולכת בדרכן של מדינות אלו, </w:t>
      </w:r>
      <w:r w:rsidR="003D5395">
        <w:rPr>
          <w:rFonts w:hint="cs"/>
          <w:rtl/>
        </w:rPr>
        <w:t xml:space="preserve">ומחייבת משאל עם על כל שינוי בחוק יסוד, </w:t>
      </w:r>
      <w:r w:rsidR="00670BE8">
        <w:rPr>
          <w:rFonts w:hint="cs"/>
          <w:rtl/>
        </w:rPr>
        <w:t>המשבר החוקתי לא היה מתעורר כלל, שכן ההצעה לביטול עילת הסבירות הייתה מלכתחילה מוכרעת במשאל עם.</w:t>
      </w:r>
    </w:p>
    <w:p w14:paraId="7D96661C" w14:textId="4A422C0F" w:rsidR="004B48EC" w:rsidRDefault="004B48EC" w:rsidP="00023A8C">
      <w:pPr>
        <w:rPr>
          <w:rtl/>
        </w:rPr>
      </w:pPr>
      <w:r>
        <w:rPr>
          <w:rFonts w:hint="cs"/>
          <w:rtl/>
        </w:rPr>
        <w:t>בנוסף למשאלי עם לשינוי חוקה, ישנן מדינות רבות המאפשרות לאזרחים לדרוש משאל עם על חוק שעבר בפרלמנט. הדרישה מתבצעת ע"י החתמת מספר מסוים של אזרחים על עצומה</w:t>
      </w:r>
      <w:r w:rsidR="00023A8C">
        <w:rPr>
          <w:rFonts w:hint="cs"/>
          <w:rtl/>
        </w:rPr>
        <w:t xml:space="preserve">. </w:t>
      </w:r>
      <w:r>
        <w:rPr>
          <w:rFonts w:hint="cs"/>
          <w:rtl/>
        </w:rPr>
        <w:t xml:space="preserve">לדוגמה, בשווייץ מספיק להחתים 50,000 אנשים על עצומה, על־מנת להעמיד חוק למשאל עם. </w:t>
      </w:r>
      <w:r w:rsidR="00023A8C">
        <w:rPr>
          <w:rFonts w:hint="cs"/>
          <w:rtl/>
        </w:rPr>
        <w:t xml:space="preserve">משאל עם </w:t>
      </w:r>
      <w:r w:rsidR="00F543D9">
        <w:rPr>
          <w:rFonts w:hint="cs"/>
          <w:rtl/>
        </w:rPr>
        <w:t xml:space="preserve">עשוי </w:t>
      </w:r>
      <w:r w:rsidR="00023A8C">
        <w:rPr>
          <w:rFonts w:hint="cs"/>
          <w:rtl/>
        </w:rPr>
        <w:t>להוות תחליף לביקורת שיפוטית:</w:t>
      </w:r>
      <w:r w:rsidR="00023A8C">
        <w:t xml:space="preserve"> </w:t>
      </w:r>
      <w:r w:rsidR="00023A8C">
        <w:rPr>
          <w:rFonts w:hint="cs"/>
          <w:rtl/>
        </w:rPr>
        <w:t xml:space="preserve">בית המשפט בשווייץ אינו יכול לפסול חוק שהתקבל בפרלמנט הפדרלי, אבל העם יכול לפסול את החוק ע"י משאל עם. </w:t>
      </w:r>
      <w:r w:rsidR="00770777">
        <w:rPr>
          <w:rFonts w:hint="cs"/>
          <w:rtl/>
        </w:rPr>
        <w:t>סעיפי משאל עם נעשים נפוצים יותר ויותר בחוקות חדשות.</w:t>
      </w:r>
      <w:r w:rsidR="00770777">
        <w:rPr>
          <w:rStyle w:val="FootnoteReference"/>
          <w:rtl/>
        </w:rPr>
        <w:footnoteReference w:id="20"/>
      </w:r>
      <w:r w:rsidR="00770777">
        <w:rPr>
          <w:rFonts w:hint="cs"/>
          <w:rtl/>
        </w:rPr>
        <w:t xml:space="preserve"> </w:t>
      </w:r>
      <w:r>
        <w:rPr>
          <w:rFonts w:hint="cs"/>
          <w:rtl/>
        </w:rPr>
        <w:t xml:space="preserve">אילו ישראל הייתה הולכת בדרכן של מדינות אלו, סביר למדי שמתנגדי הרפורמה המשפטית לא היו פונים לבג"ץ אלא חותמים על עצומה כזאת, וגם במקרה זה לא היה מתעורר משבר חוקתי. </w:t>
      </w:r>
    </w:p>
    <w:p w14:paraId="38D697A5" w14:textId="0E2119E4" w:rsidR="00D244C8" w:rsidRDefault="00913C51" w:rsidP="00913C51">
      <w:pPr>
        <w:pStyle w:val="Heading3"/>
        <w:rPr>
          <w:rtl/>
        </w:rPr>
      </w:pPr>
      <w:r>
        <w:rPr>
          <w:rFonts w:hint="cs"/>
          <w:rtl/>
        </w:rPr>
        <w:t xml:space="preserve">ב. </w:t>
      </w:r>
      <w:r w:rsidR="00D244C8">
        <w:rPr>
          <w:rFonts w:hint="cs"/>
          <w:rtl/>
        </w:rPr>
        <w:t xml:space="preserve">2. </w:t>
      </w:r>
      <w:r w:rsidR="002E0F45">
        <w:rPr>
          <w:rFonts w:hint="cs"/>
          <w:rtl/>
        </w:rPr>
        <w:t>משאלי</w:t>
      </w:r>
      <w:r w:rsidR="00F543D9">
        <w:rPr>
          <w:rFonts w:hint="cs"/>
          <w:rtl/>
        </w:rPr>
        <w:t xml:space="preserve"> </w:t>
      </w:r>
      <w:r w:rsidR="002E0F45">
        <w:rPr>
          <w:rFonts w:hint="cs"/>
          <w:rtl/>
        </w:rPr>
        <w:t xml:space="preserve">עם </w:t>
      </w:r>
      <w:r w:rsidR="00D244C8">
        <w:rPr>
          <w:rFonts w:hint="cs"/>
          <w:rtl/>
        </w:rPr>
        <w:t>בחוק הישראלי</w:t>
      </w:r>
    </w:p>
    <w:p w14:paraId="5CD6B8D9" w14:textId="093CBA74" w:rsidR="00E04EFB" w:rsidRDefault="00623A9B" w:rsidP="00E04EFB">
      <w:pPr>
        <w:rPr>
          <w:rtl/>
        </w:rPr>
      </w:pPr>
      <w:r>
        <w:rPr>
          <w:rFonts w:hint="cs"/>
          <w:rtl/>
        </w:rPr>
        <w:t>החוק הישראלי אינו דורש משאל עם כתנאי לשינוי חוקי יסוד</w:t>
      </w:r>
      <w:r w:rsidR="004B48EC">
        <w:rPr>
          <w:rFonts w:hint="cs"/>
          <w:rtl/>
        </w:rPr>
        <w:t>, וגם אינו מאפשר לציבור לחייב משאל</w:t>
      </w:r>
      <w:r>
        <w:rPr>
          <w:rFonts w:hint="cs"/>
          <w:rtl/>
        </w:rPr>
        <w:t>.</w:t>
      </w:r>
      <w:r w:rsidR="002A49E3">
        <w:rPr>
          <w:rStyle w:val="FootnoteReference"/>
          <w:rtl/>
        </w:rPr>
        <w:footnoteReference w:id="21"/>
      </w:r>
      <w:r>
        <w:rPr>
          <w:rFonts w:hint="cs"/>
          <w:rtl/>
        </w:rPr>
        <w:t xml:space="preserve"> </w:t>
      </w:r>
      <w:r w:rsidR="006516F3">
        <w:rPr>
          <w:rFonts w:hint="cs"/>
          <w:rtl/>
        </w:rPr>
        <w:t xml:space="preserve">לכן גם בג"ץ אינו יכול לחייב את הממשלה לקיים משאל עם, שהרי </w:t>
      </w:r>
      <w:r w:rsidR="00061591">
        <w:rPr>
          <w:rFonts w:hint="cs"/>
          <w:rtl/>
        </w:rPr>
        <w:t>סעיף 15 לחוק-יסוד: השפיטה</w:t>
      </w:r>
      <w:r w:rsidR="006516F3">
        <w:rPr>
          <w:rFonts w:hint="cs"/>
          <w:rtl/>
        </w:rPr>
        <w:t xml:space="preserve"> </w:t>
      </w:r>
      <w:r w:rsidR="00061591">
        <w:rPr>
          <w:rFonts w:hint="cs"/>
          <w:rtl/>
        </w:rPr>
        <w:t>קובע</w:t>
      </w:r>
      <w:r w:rsidR="006516F3">
        <w:rPr>
          <w:rFonts w:hint="cs"/>
          <w:rtl/>
        </w:rPr>
        <w:t xml:space="preserve"> </w:t>
      </w:r>
      <w:r w:rsidR="00061591">
        <w:rPr>
          <w:rFonts w:hint="cs"/>
          <w:rtl/>
        </w:rPr>
        <w:t xml:space="preserve">כי </w:t>
      </w:r>
      <w:r w:rsidR="006516F3">
        <w:rPr>
          <w:rFonts w:hint="cs"/>
          <w:rtl/>
        </w:rPr>
        <w:t>בג"ץ</w:t>
      </w:r>
      <w:r w:rsidR="00061591">
        <w:rPr>
          <w:rFonts w:hint="cs"/>
          <w:rtl/>
        </w:rPr>
        <w:t xml:space="preserve"> מוסמך "</w:t>
      </w:r>
      <w:r w:rsidR="00061591" w:rsidRPr="00A415F7">
        <w:rPr>
          <w:i/>
          <w:iCs/>
          <w:rtl/>
        </w:rPr>
        <w:t xml:space="preserve">לתת צווים לרשויות המדינה, לרשויות מקומיות, לפקידיהן ולגופים ולאנשים אחרים הממלאים תפקידים ציבוריים על פי דין, לעשות מעשה או להימנע מעשות מעשה במילוי תפקידיהם </w:t>
      </w:r>
      <w:r w:rsidR="00061591" w:rsidRPr="006516F3">
        <w:rPr>
          <w:b/>
          <w:bCs/>
          <w:i/>
          <w:iCs/>
          <w:rtl/>
        </w:rPr>
        <w:t>כדין</w:t>
      </w:r>
      <w:r w:rsidR="00061591">
        <w:rPr>
          <w:rFonts w:hint="cs"/>
          <w:rtl/>
        </w:rPr>
        <w:t>"</w:t>
      </w:r>
      <w:r w:rsidR="00061591">
        <w:rPr>
          <w:rStyle w:val="FootnoteReference"/>
          <w:rtl/>
        </w:rPr>
        <w:footnoteReference w:id="22"/>
      </w:r>
      <w:r w:rsidR="00061591">
        <w:rPr>
          <w:rFonts w:hint="cs"/>
          <w:rtl/>
        </w:rPr>
        <w:t xml:space="preserve"> </w:t>
      </w:r>
      <w:r w:rsidR="006516F3">
        <w:rPr>
          <w:rFonts w:hint="cs"/>
          <w:rtl/>
        </w:rPr>
        <w:t xml:space="preserve">- בג"ץ יכול לתת צו לממשלה, רק כאשר הצו מצווה עליה לעשות מעשה שהיא חייבת לעשות במילוי </w:t>
      </w:r>
      <w:r w:rsidR="006516F3">
        <w:rPr>
          <w:rFonts w:hint="cs"/>
          <w:rtl/>
        </w:rPr>
        <w:lastRenderedPageBreak/>
        <w:t>תפקידה על-פי</w:t>
      </w:r>
      <w:r w:rsidR="00E32D87">
        <w:rPr>
          <w:rFonts w:hint="cs"/>
          <w:rtl/>
        </w:rPr>
        <w:t xml:space="preserve"> </w:t>
      </w:r>
      <w:r w:rsidR="00E32D87" w:rsidRPr="00E04EFB">
        <w:rPr>
          <w:rFonts w:hint="cs"/>
          <w:b/>
          <w:bCs/>
          <w:rtl/>
        </w:rPr>
        <w:t>הדין</w:t>
      </w:r>
      <w:r w:rsidR="00E32D87">
        <w:rPr>
          <w:rFonts w:hint="cs"/>
          <w:rtl/>
        </w:rPr>
        <w:t>.</w:t>
      </w:r>
      <w:r w:rsidR="006516F3">
        <w:rPr>
          <w:rFonts w:hint="cs"/>
          <w:rtl/>
        </w:rPr>
        <w:t xml:space="preserve"> </w:t>
      </w:r>
      <w:r w:rsidR="00E04EFB">
        <w:rPr>
          <w:rFonts w:hint="cs"/>
          <w:rtl/>
        </w:rPr>
        <w:t xml:space="preserve">לפיכך, גם אם בג"ץ יורה לממשלה לקיים משאל עם, הממשלה יכולה להתעלם מהוראה זו, כיוון שאינה מעוגנת בדין. </w:t>
      </w:r>
    </w:p>
    <w:p w14:paraId="581ED0F6" w14:textId="7D5AC9D1" w:rsidR="00672B7C" w:rsidRDefault="00E04EFB" w:rsidP="00E04EFB">
      <w:pPr>
        <w:rPr>
          <w:rtl/>
        </w:rPr>
      </w:pPr>
      <w:r>
        <w:rPr>
          <w:rFonts w:hint="cs"/>
          <w:rtl/>
        </w:rPr>
        <w:t>למרות זאת</w:t>
      </w:r>
      <w:r w:rsidR="00672B7C">
        <w:rPr>
          <w:rFonts w:hint="cs"/>
          <w:rtl/>
        </w:rPr>
        <w:t>,</w:t>
      </w:r>
      <w:r w:rsidR="00802982">
        <w:rPr>
          <w:rFonts w:hint="cs"/>
          <w:rtl/>
        </w:rPr>
        <w:t xml:space="preserve"> יש יסוד סביר להניח ש</w:t>
      </w:r>
      <w:r w:rsidR="00672B7C">
        <w:rPr>
          <w:rFonts w:hint="cs"/>
          <w:rtl/>
        </w:rPr>
        <w:t xml:space="preserve">הממשלה תבחר לקיים </w:t>
      </w:r>
      <w:r>
        <w:rPr>
          <w:rFonts w:hint="cs"/>
          <w:rtl/>
        </w:rPr>
        <w:t xml:space="preserve">הוראה כזו של </w:t>
      </w:r>
      <w:r w:rsidR="00672B7C">
        <w:rPr>
          <w:rFonts w:hint="cs"/>
          <w:rtl/>
        </w:rPr>
        <w:t>בג"ץ</w:t>
      </w:r>
      <w:r w:rsidR="008F00BB">
        <w:rPr>
          <w:rFonts w:hint="cs"/>
          <w:rtl/>
        </w:rPr>
        <w:t>, וזאת משתי סיבות:</w:t>
      </w:r>
    </w:p>
    <w:p w14:paraId="6CF4ECB5" w14:textId="6EE3A5AD" w:rsidR="00672B7C" w:rsidRDefault="00AA69BA" w:rsidP="008D4CA8">
      <w:pPr>
        <w:pStyle w:val="ListParagraph"/>
        <w:numPr>
          <w:ilvl w:val="0"/>
          <w:numId w:val="2"/>
        </w:numPr>
      </w:pPr>
      <w:r>
        <w:rPr>
          <w:rFonts w:hint="cs"/>
          <w:rtl/>
        </w:rPr>
        <w:t>ההצדקה העיקרית שנתנה הממשלה לרפורמה המשפטית היא החזרת זכות ההחלטה לעם</w:t>
      </w:r>
      <w:r w:rsidR="00905B64">
        <w:rPr>
          <w:rFonts w:hint="cs"/>
          <w:rtl/>
        </w:rPr>
        <w:t xml:space="preserve"> (מתוך הטענה, שהתערבות בג"ץ בהחלטות הכנסת שוללת את זכות ההחלטה מהעם)</w:t>
      </w:r>
      <w:r>
        <w:rPr>
          <w:rFonts w:hint="cs"/>
          <w:rtl/>
        </w:rPr>
        <w:t>:</w:t>
      </w:r>
      <w:r>
        <w:t xml:space="preserve"> </w:t>
      </w:r>
      <w:r>
        <w:rPr>
          <w:rFonts w:hint="cs"/>
          <w:rtl/>
        </w:rPr>
        <w:t>"</w:t>
      </w:r>
      <w:r w:rsidRPr="00905B64">
        <w:rPr>
          <w:rFonts w:hint="cs"/>
          <w:i/>
          <w:iCs/>
          <w:rtl/>
        </w:rPr>
        <w:t xml:space="preserve">הגיע הזמן להשיב את הדמוקרטיה... </w:t>
      </w:r>
      <w:r w:rsidRPr="00905B64">
        <w:rPr>
          <w:i/>
          <w:iCs/>
          <w:rtl/>
        </w:rPr>
        <w:t>כולנו אזרחים שווים ולכולנו זכות שווה לקחת חלק בהחלטות הקובעות את חיינו</w:t>
      </w:r>
      <w:r>
        <w:rPr>
          <w:rFonts w:hint="cs"/>
          <w:rtl/>
        </w:rPr>
        <w:t>"</w:t>
      </w:r>
      <w:r>
        <w:rPr>
          <w:rStyle w:val="FootnoteReference"/>
          <w:rtl/>
        </w:rPr>
        <w:footnoteReference w:id="23"/>
      </w:r>
      <w:r>
        <w:rPr>
          <w:rFonts w:hint="cs"/>
          <w:rtl/>
        </w:rPr>
        <w:t>.</w:t>
      </w:r>
      <w:r w:rsidR="007E2A37">
        <w:rPr>
          <w:rFonts w:hint="cs"/>
          <w:rtl/>
        </w:rPr>
        <w:t xml:space="preserve"> </w:t>
      </w:r>
      <w:r w:rsidR="002A4FE8">
        <w:rPr>
          <w:rFonts w:hint="cs"/>
          <w:rtl/>
        </w:rPr>
        <w:t xml:space="preserve">איך יוכלו כעת להתנגד למשאל עם, העושה בדיוק את זה </w:t>
      </w:r>
      <w:r w:rsidR="002A4FE8">
        <w:rPr>
          <w:rtl/>
        </w:rPr>
        <w:t>–</w:t>
      </w:r>
      <w:r w:rsidR="002A4FE8">
        <w:rPr>
          <w:rFonts w:hint="cs"/>
          <w:rtl/>
        </w:rPr>
        <w:t xml:space="preserve"> נותן לכולם זכות שווה לקחת חלק בהחלטות? </w:t>
      </w:r>
    </w:p>
    <w:p w14:paraId="470577D9" w14:textId="5D99FA91" w:rsidR="00672B7C" w:rsidRDefault="00032EC3" w:rsidP="00672B7C">
      <w:pPr>
        <w:pStyle w:val="ListParagraph"/>
        <w:numPr>
          <w:ilvl w:val="0"/>
          <w:numId w:val="2"/>
        </w:numPr>
      </w:pPr>
      <w:r>
        <w:rPr>
          <w:rFonts w:hint="cs"/>
          <w:rtl/>
        </w:rPr>
        <w:t>בג"ץ יכל לרמוז, ש</w:t>
      </w:r>
      <w:r w:rsidR="00070375">
        <w:rPr>
          <w:rFonts w:hint="cs"/>
          <w:rtl/>
        </w:rPr>
        <w:t xml:space="preserve">אם הממשלה תסרב לקיים משאל עם, </w:t>
      </w:r>
      <w:r w:rsidR="006871A8">
        <w:rPr>
          <w:rFonts w:hint="cs"/>
          <w:rtl/>
        </w:rPr>
        <w:t xml:space="preserve">הוא </w:t>
      </w:r>
      <w:r>
        <w:rPr>
          <w:rFonts w:hint="cs"/>
          <w:rtl/>
        </w:rPr>
        <w:t>י</w:t>
      </w:r>
      <w:r w:rsidR="00070375">
        <w:rPr>
          <w:rFonts w:hint="cs"/>
          <w:rtl/>
        </w:rPr>
        <w:t xml:space="preserve">שתמש בסמכותו </w:t>
      </w:r>
      <w:r w:rsidR="009D278E">
        <w:rPr>
          <w:rFonts w:hint="cs"/>
          <w:rtl/>
        </w:rPr>
        <w:t xml:space="preserve">הקיימת </w:t>
      </w:r>
      <w:r w:rsidR="00070375">
        <w:rPr>
          <w:rFonts w:hint="cs"/>
          <w:rtl/>
        </w:rPr>
        <w:t xml:space="preserve">לביקורת שיפוטית </w:t>
      </w:r>
      <w:r>
        <w:rPr>
          <w:rFonts w:hint="cs"/>
          <w:rtl/>
        </w:rPr>
        <w:t>ויב</w:t>
      </w:r>
      <w:r w:rsidR="00070375">
        <w:rPr>
          <w:rFonts w:hint="cs"/>
          <w:rtl/>
        </w:rPr>
        <w:t xml:space="preserve">טל לחלוטין את התיקון לחוק. </w:t>
      </w:r>
      <w:r>
        <w:rPr>
          <w:rFonts w:hint="cs"/>
          <w:rtl/>
        </w:rPr>
        <w:t xml:space="preserve">מסתבר שמשאל עם ייתפס בעיני הממשלה כ"רע במיעוטו", </w:t>
      </w:r>
      <w:r w:rsidR="009F4A59">
        <w:rPr>
          <w:rFonts w:hint="cs"/>
          <w:rtl/>
        </w:rPr>
        <w:t xml:space="preserve">שכן </w:t>
      </w:r>
      <w:r w:rsidR="00B54F5F">
        <w:rPr>
          <w:rFonts w:hint="cs"/>
          <w:rtl/>
        </w:rPr>
        <w:t>ב</w:t>
      </w:r>
      <w:r w:rsidR="009F4A59">
        <w:rPr>
          <w:rFonts w:hint="cs"/>
          <w:rtl/>
        </w:rPr>
        <w:t xml:space="preserve">משאל עם </w:t>
      </w:r>
      <w:r w:rsidR="00B54F5F">
        <w:rPr>
          <w:rFonts w:hint="cs"/>
          <w:rtl/>
        </w:rPr>
        <w:t xml:space="preserve">יש </w:t>
      </w:r>
      <w:r>
        <w:rPr>
          <w:rFonts w:hint="cs"/>
          <w:rtl/>
        </w:rPr>
        <w:t xml:space="preserve">סיכוי </w:t>
      </w:r>
      <w:r w:rsidR="009F4A59">
        <w:rPr>
          <w:rFonts w:hint="cs"/>
          <w:rtl/>
        </w:rPr>
        <w:t>שהתיקון יתקבל.</w:t>
      </w:r>
    </w:p>
    <w:p w14:paraId="5CA0B192" w14:textId="5CBFB2E7" w:rsidR="009D278E" w:rsidRDefault="009D278E" w:rsidP="009D278E">
      <w:r>
        <w:rPr>
          <w:rFonts w:hint="cs"/>
          <w:rtl/>
        </w:rPr>
        <w:t>בטווח הארוך עדיף לתקן את החוק, כך שיחייב משאל עם לכל תיקון חוקתי, כמקובל במדינות רבות בעולם. אבל אנחנו צריכים פתרון גם לטווח הקצר, ולכן הצעתי שבג"ץ ייקח את היוזמה בנושא.</w:t>
      </w:r>
    </w:p>
    <w:p w14:paraId="37497AB2" w14:textId="60F6D68B" w:rsidR="00C351A0" w:rsidRDefault="00EC36D4" w:rsidP="00C351A0">
      <w:pPr>
        <w:rPr>
          <w:rtl/>
        </w:rPr>
      </w:pPr>
      <w:r>
        <w:rPr>
          <w:rFonts w:hint="cs"/>
          <w:rtl/>
        </w:rPr>
        <w:t xml:space="preserve">אם כך, משאל עם הוא פתרון אפשרי. אבל האם הוא גם רצוי? בשאלה זו </w:t>
      </w:r>
      <w:r w:rsidR="00303530">
        <w:rPr>
          <w:rFonts w:hint="cs"/>
          <w:rtl/>
        </w:rPr>
        <w:t>נחלקו חכמי מדעי המדינה.</w:t>
      </w:r>
    </w:p>
    <w:p w14:paraId="19924A3A" w14:textId="46DF01CB" w:rsidR="006C197E" w:rsidRDefault="006C197E" w:rsidP="006C197E">
      <w:pPr>
        <w:pStyle w:val="Heading2"/>
        <w:rPr>
          <w:rtl/>
        </w:rPr>
      </w:pPr>
      <w:r>
        <w:rPr>
          <w:rFonts w:hint="cs"/>
          <w:rtl/>
        </w:rPr>
        <w:t xml:space="preserve">ג. משאלי עם </w:t>
      </w:r>
      <w:r>
        <w:rPr>
          <w:rtl/>
        </w:rPr>
        <w:t>–</w:t>
      </w:r>
      <w:r>
        <w:rPr>
          <w:rFonts w:hint="cs"/>
          <w:rtl/>
        </w:rPr>
        <w:t xml:space="preserve"> </w:t>
      </w:r>
      <w:r w:rsidR="00127183">
        <w:rPr>
          <w:rFonts w:hint="cs"/>
          <w:rtl/>
        </w:rPr>
        <w:t>בעיות ופתרונות</w:t>
      </w:r>
    </w:p>
    <w:p w14:paraId="029EF7D0" w14:textId="05652C95" w:rsidR="000A366F" w:rsidRPr="006C197E" w:rsidRDefault="00540A95" w:rsidP="000A366F">
      <w:pPr>
        <w:rPr>
          <w:rtl/>
        </w:rPr>
      </w:pPr>
      <w:r>
        <w:rPr>
          <w:rFonts w:hint="cs"/>
          <w:rtl/>
        </w:rPr>
        <w:t xml:space="preserve">בעשורים האחרונים ישנה עליה משמעותית בקיום </w:t>
      </w:r>
      <w:r w:rsidR="00111FAE">
        <w:rPr>
          <w:rFonts w:hint="cs"/>
          <w:rtl/>
        </w:rPr>
        <w:t xml:space="preserve">משאלי עם </w:t>
      </w:r>
      <w:r>
        <w:rPr>
          <w:rFonts w:hint="cs"/>
          <w:rtl/>
        </w:rPr>
        <w:t>במדינות דמוקרטיות</w:t>
      </w:r>
      <w:r w:rsidR="00111FAE">
        <w:rPr>
          <w:rFonts w:hint="cs"/>
          <w:rtl/>
        </w:rPr>
        <w:t>. סקרי דעת</w:t>
      </w:r>
      <w:r w:rsidR="00E72119">
        <w:rPr>
          <w:rFonts w:hint="cs"/>
          <w:rtl/>
        </w:rPr>
        <w:t xml:space="preserve"> </w:t>
      </w:r>
      <w:r w:rsidR="00111FAE">
        <w:rPr>
          <w:rFonts w:hint="cs"/>
          <w:rtl/>
        </w:rPr>
        <w:t>קהל מראים שרוב הציבור מרוצה מהתופעה.</w:t>
      </w:r>
      <w:r w:rsidR="00D33AA6">
        <w:rPr>
          <w:rStyle w:val="FootnoteReference"/>
          <w:rtl/>
        </w:rPr>
        <w:footnoteReference w:id="24"/>
      </w:r>
      <w:r w:rsidR="00111FAE">
        <w:rPr>
          <w:rFonts w:hint="cs"/>
          <w:rtl/>
        </w:rPr>
        <w:t xml:space="preserve"> אולם מדעני</w:t>
      </w:r>
      <w:r w:rsidR="00E72119">
        <w:rPr>
          <w:rFonts w:hint="cs"/>
          <w:rtl/>
        </w:rPr>
        <w:t xml:space="preserve"> </w:t>
      </w:r>
      <w:r w:rsidR="00111FAE">
        <w:rPr>
          <w:rFonts w:hint="cs"/>
          <w:rtl/>
        </w:rPr>
        <w:t>מדינה מתייחסים לנושא בספקנות, ומעלים מספר</w:t>
      </w:r>
      <w:r w:rsidR="00AB5E84">
        <w:rPr>
          <w:rFonts w:hint="cs"/>
          <w:rtl/>
        </w:rPr>
        <w:t xml:space="preserve"> בעיות אפשריות</w:t>
      </w:r>
      <w:r w:rsidR="001106CE">
        <w:rPr>
          <w:rFonts w:hint="cs"/>
          <w:rtl/>
        </w:rPr>
        <w:t xml:space="preserve">. </w:t>
      </w:r>
      <w:r w:rsidR="00111FAE">
        <w:rPr>
          <w:rFonts w:hint="cs"/>
          <w:rtl/>
        </w:rPr>
        <w:t xml:space="preserve">בפרק זה נדון </w:t>
      </w:r>
      <w:r w:rsidR="001106CE">
        <w:rPr>
          <w:rFonts w:hint="cs"/>
          <w:rtl/>
        </w:rPr>
        <w:t>בשלוש בעיות: בעיית המומחיות, בעיית ההון, ובעיית הקיטוב.</w:t>
      </w:r>
      <w:r w:rsidR="006477EA">
        <w:rPr>
          <w:rFonts w:hint="cs"/>
          <w:rtl/>
        </w:rPr>
        <w:t xml:space="preserve"> נתאר </w:t>
      </w:r>
      <w:r w:rsidR="00111FAE">
        <w:rPr>
          <w:rFonts w:hint="cs"/>
          <w:rtl/>
        </w:rPr>
        <w:t xml:space="preserve">מחקרים </w:t>
      </w:r>
      <w:r w:rsidR="006477EA">
        <w:rPr>
          <w:rFonts w:hint="cs"/>
          <w:rtl/>
        </w:rPr>
        <w:t>שבדקו עד כמה הן מבוססות</w:t>
      </w:r>
      <w:r w:rsidR="00111FAE">
        <w:rPr>
          <w:rFonts w:hint="cs"/>
          <w:rtl/>
        </w:rPr>
        <w:t xml:space="preserve">. </w:t>
      </w:r>
    </w:p>
    <w:p w14:paraId="75F6F191" w14:textId="587FA203" w:rsidR="00B135AF" w:rsidRDefault="00B23E2E" w:rsidP="0095440A">
      <w:pPr>
        <w:pStyle w:val="Heading3"/>
        <w:rPr>
          <w:rtl/>
        </w:rPr>
      </w:pPr>
      <w:r>
        <w:rPr>
          <w:rFonts w:hint="cs"/>
          <w:rtl/>
        </w:rPr>
        <w:t>ג.1</w:t>
      </w:r>
      <w:r w:rsidR="00672B7C">
        <w:rPr>
          <w:rFonts w:hint="cs"/>
          <w:rtl/>
        </w:rPr>
        <w:t xml:space="preserve">. </w:t>
      </w:r>
      <w:r w:rsidR="00E63EF3">
        <w:rPr>
          <w:rFonts w:hint="cs"/>
          <w:rtl/>
        </w:rPr>
        <w:t>בעיית המומחיות</w:t>
      </w:r>
      <w:r w:rsidR="00B176BA">
        <w:rPr>
          <w:rFonts w:hint="cs"/>
          <w:rtl/>
        </w:rPr>
        <w:t xml:space="preserve"> </w:t>
      </w:r>
      <w:r w:rsidR="00B176BA">
        <w:rPr>
          <w:rtl/>
        </w:rPr>
        <w:t>–</w:t>
      </w:r>
      <w:r w:rsidR="00B176BA">
        <w:rPr>
          <w:rFonts w:hint="cs"/>
          <w:rtl/>
        </w:rPr>
        <w:t xml:space="preserve"> חכמת ההמונים</w:t>
      </w:r>
    </w:p>
    <w:p w14:paraId="60FCDA86" w14:textId="009E97FE" w:rsidR="00E63EF3" w:rsidRDefault="00E63EF3" w:rsidP="00D95E75">
      <w:pPr>
        <w:rPr>
          <w:rtl/>
        </w:rPr>
      </w:pPr>
      <w:r>
        <w:rPr>
          <w:rFonts w:hint="cs"/>
          <w:rtl/>
        </w:rPr>
        <w:t xml:space="preserve">אחת הטענות נגד משאל עם היא, שלרוב האזרחים אין מספיק ידע ומומחיות כדי להחליט בנושאים מורכבים. זאת בניגוד לשופטים, </w:t>
      </w:r>
      <w:r w:rsidR="00B35C28">
        <w:rPr>
          <w:rFonts w:hint="cs"/>
          <w:rtl/>
        </w:rPr>
        <w:t>שמתוקף תפקידם יש להם ידע ומומחיות כדי לפסוק את הפסיקה הנכונה</w:t>
      </w:r>
      <w:r>
        <w:rPr>
          <w:rFonts w:hint="cs"/>
          <w:rtl/>
        </w:rPr>
        <w:t>.</w:t>
      </w:r>
    </w:p>
    <w:p w14:paraId="28369715" w14:textId="5A427862" w:rsidR="002D3855" w:rsidRDefault="00303530" w:rsidP="006A1FAF">
      <w:pPr>
        <w:rPr>
          <w:rtl/>
        </w:rPr>
      </w:pPr>
      <w:r>
        <w:rPr>
          <w:rFonts w:hint="cs"/>
          <w:rtl/>
        </w:rPr>
        <w:t xml:space="preserve">הראשון שהתייחס </w:t>
      </w:r>
      <w:r w:rsidR="002D3855">
        <w:rPr>
          <w:rFonts w:hint="cs"/>
          <w:rtl/>
        </w:rPr>
        <w:t xml:space="preserve">לשאלה </w:t>
      </w:r>
      <w:r w:rsidR="00E72119">
        <w:rPr>
          <w:rFonts w:hint="cs"/>
          <w:rtl/>
        </w:rPr>
        <w:t xml:space="preserve">זו </w:t>
      </w:r>
      <w:r w:rsidR="002D3855">
        <w:rPr>
          <w:rFonts w:hint="cs"/>
          <w:rtl/>
        </w:rPr>
        <w:t xml:space="preserve">היה, כנראה, </w:t>
      </w:r>
      <w:r w:rsidR="001B2F24">
        <w:rPr>
          <w:rFonts w:hint="cs"/>
          <w:rtl/>
        </w:rPr>
        <w:t>ה</w:t>
      </w:r>
      <w:r w:rsidR="00F66FBA">
        <w:rPr>
          <w:rFonts w:hint="cs"/>
          <w:rtl/>
        </w:rPr>
        <w:t>מתמטיקאי ה</w:t>
      </w:r>
      <w:r>
        <w:rPr>
          <w:rFonts w:hint="cs"/>
          <w:rtl/>
        </w:rPr>
        <w:t>מרקי</w:t>
      </w:r>
      <w:r w:rsidR="001B2F24">
        <w:rPr>
          <w:rFonts w:hint="cs"/>
          <w:rtl/>
        </w:rPr>
        <w:t>ז</w:t>
      </w:r>
      <w:r>
        <w:rPr>
          <w:rFonts w:hint="cs"/>
          <w:rtl/>
        </w:rPr>
        <w:t xml:space="preserve"> דה קונדורסה</w:t>
      </w:r>
      <w:r w:rsidR="00F66FBA">
        <w:rPr>
          <w:rFonts w:hint="cs"/>
          <w:rtl/>
        </w:rPr>
        <w:t xml:space="preserve"> (</w:t>
      </w:r>
      <w:r w:rsidR="00F66FBA">
        <w:t>Condorcet</w:t>
      </w:r>
      <w:r w:rsidR="00F66FBA">
        <w:rPr>
          <w:rFonts w:hint="cs"/>
          <w:rtl/>
        </w:rPr>
        <w:t>)</w:t>
      </w:r>
      <w:r w:rsidR="00D95E75">
        <w:rPr>
          <w:rFonts w:hint="cs"/>
          <w:rtl/>
        </w:rPr>
        <w:t>, ש</w:t>
      </w:r>
      <w:r w:rsidR="002D3855">
        <w:rPr>
          <w:rFonts w:hint="cs"/>
          <w:rtl/>
        </w:rPr>
        <w:t>חי בתקופת המהפכה הצרפתית.</w:t>
      </w:r>
      <w:r w:rsidR="00F66FBA">
        <w:rPr>
          <w:rFonts w:hint="cs"/>
          <w:rtl/>
        </w:rPr>
        <w:t xml:space="preserve"> במאמר </w:t>
      </w:r>
      <w:r w:rsidR="002D3855">
        <w:rPr>
          <w:rFonts w:hint="cs"/>
          <w:rtl/>
        </w:rPr>
        <w:t xml:space="preserve">משנת 1785 </w:t>
      </w:r>
      <w:r w:rsidR="00D95E75">
        <w:rPr>
          <w:rFonts w:hint="cs"/>
          <w:rtl/>
        </w:rPr>
        <w:t xml:space="preserve">הוא </w:t>
      </w:r>
      <w:r w:rsidR="006A1FAF">
        <w:rPr>
          <w:rFonts w:hint="cs"/>
          <w:rtl/>
        </w:rPr>
        <w:t xml:space="preserve">מתייחס למצב שבו צריך לבחור בין שתי אפשרויות, שאחת מהן היא נכונה אובייקטיבית, והשנייה שגויה. הוא </w:t>
      </w:r>
      <w:r w:rsidR="00E63EF3">
        <w:rPr>
          <w:rFonts w:hint="cs"/>
          <w:rtl/>
        </w:rPr>
        <w:t>בוחן</w:t>
      </w:r>
      <w:r w:rsidR="00D95E75">
        <w:rPr>
          <w:rFonts w:hint="cs"/>
          <w:rtl/>
        </w:rPr>
        <w:t xml:space="preserve"> שתי דרכים לקבל החלטה:</w:t>
      </w:r>
      <w:r w:rsidR="00D95E75">
        <w:t xml:space="preserve"> </w:t>
      </w:r>
      <w:r w:rsidR="00D95E75">
        <w:rPr>
          <w:rFonts w:hint="cs"/>
          <w:rtl/>
        </w:rPr>
        <w:t xml:space="preserve">דרך אחת </w:t>
      </w:r>
      <w:r w:rsidR="00D95E75">
        <w:rPr>
          <w:rtl/>
        </w:rPr>
        <w:t>–</w:t>
      </w:r>
      <w:r w:rsidR="00D95E75">
        <w:rPr>
          <w:rFonts w:hint="cs"/>
          <w:rtl/>
        </w:rPr>
        <w:t xml:space="preserve"> על־ידי מומחה יחיד (כגון מלך או שופט); דרך שניה </w:t>
      </w:r>
      <w:r w:rsidR="00D95E75">
        <w:rPr>
          <w:rtl/>
        </w:rPr>
        <w:t>–</w:t>
      </w:r>
      <w:r w:rsidR="00D95E75">
        <w:rPr>
          <w:rFonts w:hint="cs"/>
          <w:rtl/>
        </w:rPr>
        <w:t xml:space="preserve"> בהכרעת רוב, על־ידי משאל עם בין אנשים "פשוטים"</w:t>
      </w:r>
      <w:r w:rsidR="00D95E75">
        <w:t xml:space="preserve"> </w:t>
      </w:r>
      <w:r w:rsidR="00D95E75">
        <w:rPr>
          <w:rFonts w:hint="cs"/>
          <w:rtl/>
        </w:rPr>
        <w:t>(שאינם מומחים). אפשר לחשוב שהחלטה על־ידי מומחה תהיה נכונה יותר, אולם קונדורסה הוכיח מתמטית, תחת הנחות מסוימות, שדווקא החלטה על־ידי רוב תהיה נכונה בהסתברות גבוהה יותר</w:t>
      </w:r>
      <w:r w:rsidR="00F803BB">
        <w:rPr>
          <w:rFonts w:hint="cs"/>
          <w:rtl/>
        </w:rPr>
        <w:t>, אם מספר המצביעים מספיק גדול</w:t>
      </w:r>
      <w:r w:rsidR="00D95E75">
        <w:rPr>
          <w:rFonts w:hint="cs"/>
          <w:rtl/>
        </w:rPr>
        <w:t>.</w:t>
      </w:r>
      <w:r w:rsidR="00EE5BF9">
        <w:rPr>
          <w:rStyle w:val="FootnoteReference"/>
          <w:rtl/>
        </w:rPr>
        <w:footnoteReference w:id="25"/>
      </w:r>
      <w:r w:rsidR="00D95E75">
        <w:rPr>
          <w:rFonts w:hint="cs"/>
          <w:rtl/>
        </w:rPr>
        <w:t xml:space="preserve"> </w:t>
      </w:r>
      <w:r w:rsidR="00B176BA">
        <w:rPr>
          <w:rFonts w:hint="cs"/>
          <w:rtl/>
        </w:rPr>
        <w:t xml:space="preserve">בעקבות פרסום "משפט המושבעים של קונדורסה" התפתחה </w:t>
      </w:r>
      <w:r w:rsidR="00FC7B59">
        <w:rPr>
          <w:rFonts w:hint="cs"/>
          <w:rtl/>
        </w:rPr>
        <w:t xml:space="preserve">ספרות </w:t>
      </w:r>
      <w:r w:rsidR="00FC7B59">
        <w:rPr>
          <w:rFonts w:hint="cs"/>
          <w:rtl/>
        </w:rPr>
        <w:lastRenderedPageBreak/>
        <w:t>מחקרית ענפה</w:t>
      </w:r>
      <w:r w:rsidR="00B176BA">
        <w:rPr>
          <w:rFonts w:hint="cs"/>
          <w:rtl/>
        </w:rPr>
        <w:t xml:space="preserve">. המחקרים בנושא מנסים </w:t>
      </w:r>
      <w:r w:rsidR="00FC7B59">
        <w:rPr>
          <w:rFonts w:hint="cs"/>
          <w:rtl/>
        </w:rPr>
        <w:t>להוכיח "משפטי מושבעים" חזקים יותר, המתקיימים תחת הנחות חלשות יותר</w:t>
      </w:r>
      <w:r w:rsidR="002E6DBA">
        <w:rPr>
          <w:rFonts w:hint="cs"/>
          <w:rtl/>
        </w:rPr>
        <w:t>; וכן לזהות מצבים שבהם משפט המושבעים אינו מתקיים.</w:t>
      </w:r>
      <w:r w:rsidR="008E1C25">
        <w:rPr>
          <w:rStyle w:val="FootnoteReference"/>
          <w:rtl/>
        </w:rPr>
        <w:footnoteReference w:id="26"/>
      </w:r>
    </w:p>
    <w:p w14:paraId="4D49BB41" w14:textId="4CF1F903" w:rsidR="008800B2" w:rsidRDefault="008A7881" w:rsidP="008800B2">
      <w:pPr>
        <w:rPr>
          <w:rtl/>
        </w:rPr>
      </w:pPr>
      <w:r>
        <w:rPr>
          <w:rFonts w:hint="cs"/>
          <w:rtl/>
        </w:rPr>
        <w:t xml:space="preserve">מעבר לדיונים התיאורטיים, </w:t>
      </w:r>
      <w:r w:rsidR="008800B2">
        <w:rPr>
          <w:rFonts w:hint="cs"/>
          <w:rtl/>
        </w:rPr>
        <w:t xml:space="preserve">התבצעו </w:t>
      </w:r>
      <w:r>
        <w:rPr>
          <w:rFonts w:hint="cs"/>
          <w:rtl/>
        </w:rPr>
        <w:t xml:space="preserve">גם מחקריים אמפיריים, </w:t>
      </w:r>
      <w:r w:rsidR="008800B2">
        <w:rPr>
          <w:rFonts w:hint="cs"/>
          <w:rtl/>
        </w:rPr>
        <w:t xml:space="preserve">שבדקו </w:t>
      </w:r>
      <w:r>
        <w:rPr>
          <w:rFonts w:hint="cs"/>
          <w:rtl/>
        </w:rPr>
        <w:t>עד כמה אזרחים היוצאים להצביע במשאלי עם מסוימים מודעים לפרטי</w:t>
      </w:r>
      <w:r w:rsidR="00015E21">
        <w:rPr>
          <w:rFonts w:hint="cs"/>
          <w:rtl/>
        </w:rPr>
        <w:t>ם הנוגעים לתוכן ההצבעה</w:t>
      </w:r>
      <w:r>
        <w:rPr>
          <w:rFonts w:hint="cs"/>
          <w:rtl/>
        </w:rPr>
        <w:t>.</w:t>
      </w:r>
      <w:r w:rsidR="00335E11">
        <w:rPr>
          <w:rFonts w:hint="cs"/>
          <w:rtl/>
        </w:rPr>
        <w:t xml:space="preserve"> המחקרים מראים, שרוב </w:t>
      </w:r>
      <w:r w:rsidR="00661440">
        <w:rPr>
          <w:rFonts w:hint="cs"/>
          <w:rtl/>
        </w:rPr>
        <w:t xml:space="preserve">הבוחרים </w:t>
      </w:r>
      <w:r w:rsidR="00335E11">
        <w:rPr>
          <w:rFonts w:hint="cs"/>
          <w:rtl/>
        </w:rPr>
        <w:t>אמנם אינם בקיאים בפרטים, אבל הם יודעים להשתמש ב"קיצורי דרך"</w:t>
      </w:r>
      <w:r w:rsidR="00335E11">
        <w:t xml:space="preserve"> </w:t>
      </w:r>
      <w:r w:rsidR="00335E11">
        <w:rPr>
          <w:rFonts w:hint="cs"/>
          <w:rtl/>
        </w:rPr>
        <w:t xml:space="preserve">קוגניטיביים המאפשרים להם להצביע </w:t>
      </w:r>
      <w:r w:rsidR="00661440">
        <w:rPr>
          <w:rFonts w:hint="cs"/>
          <w:rtl/>
        </w:rPr>
        <w:t xml:space="preserve">באופן מושכל. לדוגמה, הבוחרים יודעים לזהות אנשים או ארגונים בעלי השקפות דומות </w:t>
      </w:r>
      <w:r w:rsidR="008800B2">
        <w:rPr>
          <w:rFonts w:hint="cs"/>
          <w:rtl/>
        </w:rPr>
        <w:t>ל</w:t>
      </w:r>
      <w:r w:rsidR="00661440">
        <w:rPr>
          <w:rFonts w:hint="cs"/>
          <w:rtl/>
        </w:rPr>
        <w:t>שלהם, שיש להם ידע מקיף בנושא העומד להצבעה, ולהצביע בהתאם להמלצותיהם. כתוצאה מכך, דפוסי ההצבעה של רוב האזרחים, גם אלה שאין להם ידע מפורט, דומים לדפוסי ההצבעה שהיו מתקבלים אילו היה להם ידע מפורט.</w:t>
      </w:r>
      <w:r w:rsidR="00661440">
        <w:rPr>
          <w:rStyle w:val="FootnoteReference"/>
          <w:rtl/>
        </w:rPr>
        <w:footnoteReference w:id="27"/>
      </w:r>
      <w:r w:rsidR="00A75417">
        <w:rPr>
          <w:rFonts w:hint="cs"/>
          <w:rtl/>
        </w:rPr>
        <w:t xml:space="preserve"> </w:t>
      </w:r>
      <w:r w:rsidR="008800B2">
        <w:rPr>
          <w:rFonts w:hint="cs"/>
          <w:rtl/>
        </w:rPr>
        <w:t xml:space="preserve">ניתן לשאול: אם כך, מדוע </w:t>
      </w:r>
      <w:r w:rsidR="00015E21">
        <w:rPr>
          <w:rFonts w:hint="cs"/>
          <w:rtl/>
        </w:rPr>
        <w:t xml:space="preserve">צריך </w:t>
      </w:r>
      <w:r w:rsidR="008800B2">
        <w:rPr>
          <w:rFonts w:hint="cs"/>
          <w:rtl/>
        </w:rPr>
        <w:t xml:space="preserve">משאל עם </w:t>
      </w:r>
      <w:r w:rsidR="008800B2">
        <w:rPr>
          <w:rtl/>
        </w:rPr>
        <w:t>–</w:t>
      </w:r>
      <w:r w:rsidR="008800B2">
        <w:rPr>
          <w:rFonts w:hint="cs"/>
          <w:rtl/>
        </w:rPr>
        <w:t xml:space="preserve"> הרי גם בבחירות לכנסת יכולים הבוחרים לזהות מפלגות בעלי השקפות דומות לשלהם, ולבחור בהן כדי שיצביעו עבורם? אלא שהבחירות לכנסת מחייבות את האזרחים לבחור מפלגה </w:t>
      </w:r>
      <w:r w:rsidR="008800B2" w:rsidRPr="008800B2">
        <w:rPr>
          <w:rFonts w:hint="cs"/>
          <w:i/>
          <w:iCs/>
          <w:rtl/>
        </w:rPr>
        <w:t xml:space="preserve">אחת </w:t>
      </w:r>
      <w:r w:rsidR="008800B2">
        <w:rPr>
          <w:rFonts w:hint="cs"/>
          <w:rtl/>
        </w:rPr>
        <w:t xml:space="preserve">שתחליט עבורם </w:t>
      </w:r>
      <w:r w:rsidR="008800B2" w:rsidRPr="008800B2">
        <w:rPr>
          <w:rFonts w:hint="cs"/>
          <w:i/>
          <w:iCs/>
          <w:rtl/>
        </w:rPr>
        <w:t>בכל</w:t>
      </w:r>
      <w:r w:rsidR="008800B2">
        <w:rPr>
          <w:rFonts w:hint="cs"/>
          <w:rtl/>
        </w:rPr>
        <w:t xml:space="preserve"> הנושאים, בעוד שמשאל עם מאפשר לאזרחים להצביע לפי המלצות של מפלגות שונות מאלו שבחרו לכנסת, או להצביע לפי המלצות של אנשים או ארגונים לא־מפלגתיים, או להצביע בעצמם לפי שיקול דעתם.</w:t>
      </w:r>
      <w:r w:rsidR="000E322B">
        <w:rPr>
          <w:rStyle w:val="FootnoteReference"/>
          <w:rtl/>
        </w:rPr>
        <w:footnoteReference w:id="28"/>
      </w:r>
    </w:p>
    <w:p w14:paraId="198F3AC2" w14:textId="0A1B1B46" w:rsidR="008800B2" w:rsidRDefault="004A4F09" w:rsidP="005E3B4E">
      <w:pPr>
        <w:rPr>
          <w:rtl/>
        </w:rPr>
      </w:pPr>
      <w:r>
        <w:rPr>
          <w:rFonts w:hint="cs"/>
          <w:rtl/>
        </w:rPr>
        <w:t>נקודה נוספת בנושא זה היא, שעצם קיומו של משאל עם מעודד את האזרחים ללמוד ולהתעמק בנושא העומד לבחירה</w:t>
      </w:r>
      <w:r w:rsidR="000E322B">
        <w:rPr>
          <w:rFonts w:hint="cs"/>
          <w:rtl/>
        </w:rPr>
        <w:t xml:space="preserve">, כלומר למשאל עם יש </w:t>
      </w:r>
      <w:r w:rsidR="00E31C77">
        <w:rPr>
          <w:rFonts w:hint="cs"/>
          <w:rtl/>
        </w:rPr>
        <w:t>"אפקט חינוכי"</w:t>
      </w:r>
      <w:r w:rsidR="000E322B">
        <w:rPr>
          <w:rFonts w:hint="cs"/>
          <w:rtl/>
        </w:rPr>
        <w:t xml:space="preserve"> על הציבור</w:t>
      </w:r>
      <w:r w:rsidR="00E31C77">
        <w:rPr>
          <w:rFonts w:hint="cs"/>
          <w:rtl/>
        </w:rPr>
        <w:t>.</w:t>
      </w:r>
      <w:bookmarkStart w:id="5" w:name="_Ref228221826"/>
      <w:r w:rsidR="005B4513">
        <w:rPr>
          <w:rStyle w:val="FootnoteReference"/>
          <w:rtl/>
        </w:rPr>
        <w:footnoteReference w:id="29"/>
      </w:r>
      <w:bookmarkEnd w:id="5"/>
    </w:p>
    <w:p w14:paraId="14C78BAA" w14:textId="4C37373E" w:rsidR="00B23E2E" w:rsidRDefault="00D94F53" w:rsidP="00023A8C">
      <w:pPr>
        <w:rPr>
          <w:rtl/>
        </w:rPr>
      </w:pPr>
      <w:r>
        <w:rPr>
          <w:rFonts w:hint="cs"/>
          <w:rtl/>
        </w:rPr>
        <w:t xml:space="preserve">מצד שני, ישנם </w:t>
      </w:r>
      <w:r w:rsidR="003A05C2">
        <w:rPr>
          <w:rFonts w:hint="cs"/>
          <w:rtl/>
        </w:rPr>
        <w:t xml:space="preserve">חוקרים </w:t>
      </w:r>
      <w:r>
        <w:rPr>
          <w:rFonts w:hint="cs"/>
          <w:rtl/>
        </w:rPr>
        <w:t>הטוענים שמשאל עם עלול להביא לתוצאות שגויות, ומביאים דוגמאות למשאלי עם שהביאו לתוצאות שהוכחו לאחר מעשה כשגויות, כגון משאל ה"ברקסיט" (המשאל על פרישת בריטניה מהאיחוד האירופי).</w:t>
      </w:r>
      <w:r w:rsidR="005E3B4E">
        <w:rPr>
          <w:rFonts w:hint="cs"/>
          <w:rtl/>
        </w:rPr>
        <w:t xml:space="preserve"> לעניות דעתי, דוגמאות אלה הן אנקדוטליות ואינן סותרות את משפט המושבעים. משפט המושבעים אינו קובע שהרוב </w:t>
      </w:r>
      <w:r w:rsidR="005E3B4E" w:rsidRPr="00571C66">
        <w:rPr>
          <w:rFonts w:hint="cs"/>
          <w:i/>
          <w:iCs/>
          <w:rtl/>
        </w:rPr>
        <w:t>תמיד</w:t>
      </w:r>
      <w:r w:rsidR="005E3B4E">
        <w:rPr>
          <w:rFonts w:hint="cs"/>
          <w:rtl/>
        </w:rPr>
        <w:t xml:space="preserve"> צודק, אלא </w:t>
      </w:r>
      <w:r w:rsidR="005E3B4E" w:rsidRPr="00571C66">
        <w:rPr>
          <w:rFonts w:hint="cs"/>
          <w:i/>
          <w:iCs/>
          <w:rtl/>
        </w:rPr>
        <w:t>שההסתברות</w:t>
      </w:r>
      <w:r w:rsidR="005E3B4E">
        <w:rPr>
          <w:rFonts w:hint="cs"/>
          <w:rtl/>
        </w:rPr>
        <w:t xml:space="preserve"> לכך שהרוב צודק גדולה יותר מההסתברות שמומחה יחיד צודק.</w:t>
      </w:r>
      <w:r w:rsidR="001A0721">
        <w:rPr>
          <w:rFonts w:hint="cs"/>
          <w:rtl/>
        </w:rPr>
        <w:t xml:space="preserve"> </w:t>
      </w:r>
      <w:r w:rsidR="00015413">
        <w:rPr>
          <w:rFonts w:hint="cs"/>
          <w:rtl/>
        </w:rPr>
        <w:t xml:space="preserve">בדיקות לאורך זמן של </w:t>
      </w:r>
      <w:r w:rsidR="00C7684A">
        <w:rPr>
          <w:rFonts w:hint="cs"/>
          <w:rtl/>
        </w:rPr>
        <w:t xml:space="preserve">מדינות ומחוזות המאפשרים </w:t>
      </w:r>
      <w:r w:rsidR="00015413">
        <w:rPr>
          <w:rFonts w:hint="cs"/>
          <w:rtl/>
        </w:rPr>
        <w:t xml:space="preserve">משאלי עם, לעומת </w:t>
      </w:r>
      <w:r w:rsidR="00C7684A">
        <w:rPr>
          <w:rFonts w:hint="cs"/>
          <w:rtl/>
        </w:rPr>
        <w:t xml:space="preserve">מדינות ומחוזות </w:t>
      </w:r>
      <w:r w:rsidR="00015413">
        <w:rPr>
          <w:rFonts w:hint="cs"/>
          <w:rtl/>
        </w:rPr>
        <w:t>בעלי מאפיינים דומים</w:t>
      </w:r>
      <w:r w:rsidR="00C7684A">
        <w:rPr>
          <w:rFonts w:hint="cs"/>
          <w:rtl/>
        </w:rPr>
        <w:t xml:space="preserve"> ללא משאלי עם</w:t>
      </w:r>
      <w:r w:rsidR="00015413">
        <w:rPr>
          <w:rFonts w:hint="cs"/>
          <w:rtl/>
        </w:rPr>
        <w:t xml:space="preserve">, הראו </w:t>
      </w:r>
      <w:r w:rsidR="00C7684A">
        <w:rPr>
          <w:rFonts w:hint="cs"/>
          <w:rtl/>
        </w:rPr>
        <w:t xml:space="preserve">שאלה המאפשרים </w:t>
      </w:r>
      <w:r w:rsidR="00015413">
        <w:rPr>
          <w:rFonts w:hint="cs"/>
          <w:rtl/>
        </w:rPr>
        <w:t xml:space="preserve">משאלי עם </w:t>
      </w:r>
      <w:r w:rsidR="00C7684A">
        <w:rPr>
          <w:rFonts w:hint="cs"/>
          <w:rtl/>
        </w:rPr>
        <w:t>נהנים מצמיחה כלכלית מהירה יותר</w:t>
      </w:r>
      <w:r w:rsidR="00ED2803">
        <w:rPr>
          <w:rFonts w:hint="cs"/>
          <w:rtl/>
        </w:rPr>
        <w:t>, וכן מ</w:t>
      </w:r>
      <w:r w:rsidR="00C7684A">
        <w:rPr>
          <w:rFonts w:hint="cs"/>
          <w:rtl/>
        </w:rPr>
        <w:t>ניצול יעיל יותר של משאבי הציבור.</w:t>
      </w:r>
      <w:r w:rsidR="000C248B">
        <w:rPr>
          <w:rStyle w:val="FootnoteReference"/>
          <w:rtl/>
        </w:rPr>
        <w:footnoteReference w:id="30"/>
      </w:r>
      <w:r w:rsidR="00015E21">
        <w:rPr>
          <w:rFonts w:hint="cs"/>
          <w:rtl/>
        </w:rPr>
        <w:t xml:space="preserve"> שווייץ היא דוגמה למדינה </w:t>
      </w:r>
      <w:r w:rsidR="00015E21">
        <w:rPr>
          <w:rFonts w:hint="cs"/>
          <w:rtl/>
        </w:rPr>
        <w:lastRenderedPageBreak/>
        <w:t>המקיימת משאלי עם באופן סדיר:</w:t>
      </w:r>
      <w:r w:rsidR="00015E21">
        <w:t xml:space="preserve"> </w:t>
      </w:r>
      <w:r w:rsidR="00015E21">
        <w:rPr>
          <w:rFonts w:hint="cs"/>
          <w:rtl/>
        </w:rPr>
        <w:t>אזרחי שוויץ מצביעים בממוצע על תשעה נושאים בשנה.</w:t>
      </w:r>
      <w:r w:rsidR="00015E21">
        <w:rPr>
          <w:rStyle w:val="FootnoteReference"/>
          <w:rtl/>
        </w:rPr>
        <w:footnoteReference w:id="31"/>
      </w:r>
      <w:r w:rsidR="00015E21">
        <w:rPr>
          <w:rFonts w:hint="cs"/>
          <w:rtl/>
        </w:rPr>
        <w:t xml:space="preserve"> הצלחת השיטה מרשימה ביותר: כבר כמעט 180 שנה (מאז 1848)</w:t>
      </w:r>
      <w:r w:rsidR="00015E21">
        <w:t xml:space="preserve"> </w:t>
      </w:r>
      <w:r w:rsidR="00015E21">
        <w:rPr>
          <w:rFonts w:hint="cs"/>
          <w:rtl/>
        </w:rPr>
        <w:t xml:space="preserve">נהנית שווייץ משלום ביטחון ושגשוג, למרות האופי הרב-לאומי שלה, ולמרות המיקום הגיאוגרפי שלה בלב אירופה מוכת המלחמות. אין זה אומר שכל החלטה והחלטה שהתקבלה במשאל עם בשווייץ הייתה </w:t>
      </w:r>
      <w:r w:rsidR="00086949">
        <w:rPr>
          <w:rFonts w:hint="cs"/>
          <w:rtl/>
        </w:rPr>
        <w:t>"</w:t>
      </w:r>
      <w:r w:rsidR="00015E21">
        <w:rPr>
          <w:rFonts w:hint="cs"/>
          <w:rtl/>
        </w:rPr>
        <w:t>נכונה</w:t>
      </w:r>
      <w:r w:rsidR="00086949">
        <w:rPr>
          <w:rFonts w:hint="cs"/>
          <w:rtl/>
        </w:rPr>
        <w:t>"</w:t>
      </w:r>
      <w:r w:rsidR="00023A8C">
        <w:rPr>
          <w:rFonts w:hint="cs"/>
          <w:rtl/>
        </w:rPr>
        <w:t>,</w:t>
      </w:r>
      <w:r w:rsidR="00015E21">
        <w:rPr>
          <w:rFonts w:hint="cs"/>
          <w:rtl/>
        </w:rPr>
        <w:t xml:space="preserve"> אולם השיטה בכללותה עובדת היטב.</w:t>
      </w:r>
    </w:p>
    <w:p w14:paraId="68ED2736" w14:textId="7534DADA" w:rsidR="00E23FDC" w:rsidRDefault="00E23FDC" w:rsidP="006F25E5">
      <w:pPr>
        <w:rPr>
          <w:rtl/>
        </w:rPr>
      </w:pPr>
      <w:r>
        <w:rPr>
          <w:rFonts w:hint="cs"/>
          <w:rtl/>
        </w:rPr>
        <w:t xml:space="preserve">טענה נוספת שנטענת נגד משאלי עם, שהיא מקרה פרטי של טענת ה"מומחיות", היא הטענה שהציבור עלול לבחור בהחלטות </w:t>
      </w:r>
      <w:r w:rsidR="00D56C8C">
        <w:rPr>
          <w:rFonts w:hint="cs"/>
          <w:rtl/>
        </w:rPr>
        <w:t xml:space="preserve">המביאות תועלת </w:t>
      </w:r>
      <w:r>
        <w:rPr>
          <w:rFonts w:hint="cs"/>
          <w:rtl/>
        </w:rPr>
        <w:t xml:space="preserve">לטווח קצר, </w:t>
      </w:r>
      <w:r w:rsidR="00D56C8C">
        <w:rPr>
          <w:rFonts w:hint="cs"/>
          <w:rtl/>
        </w:rPr>
        <w:t>אך עלולות לגרום נזק ב</w:t>
      </w:r>
      <w:r>
        <w:rPr>
          <w:rFonts w:hint="cs"/>
          <w:rtl/>
        </w:rPr>
        <w:t xml:space="preserve">טווח הארוך. לדוגמה, הציבור עלול לבחור בהפחתת מיסים ובהגדלת ההוצאה הציבורית, </w:t>
      </w:r>
      <w:r w:rsidR="00982016">
        <w:rPr>
          <w:rFonts w:hint="cs"/>
          <w:rtl/>
        </w:rPr>
        <w:t xml:space="preserve">למרות שהדבר </w:t>
      </w:r>
      <w:r>
        <w:rPr>
          <w:rFonts w:hint="cs"/>
          <w:rtl/>
        </w:rPr>
        <w:t>יגרום לגירעון הולך וגדל.</w:t>
      </w:r>
      <w:r w:rsidR="006056FD">
        <w:rPr>
          <w:rFonts w:hint="cs"/>
          <w:rtl/>
        </w:rPr>
        <w:t xml:space="preserve"> הנתונים אינם תומכים בטענה זו: מדינות המקיימות משאלי עם אמנם גובות מיסים נמוכים יותר (ב־4%</w:t>
      </w:r>
      <w:r w:rsidR="006056FD">
        <w:t xml:space="preserve"> </w:t>
      </w:r>
      <w:r w:rsidR="006056FD">
        <w:rPr>
          <w:rFonts w:hint="cs"/>
          <w:rtl/>
        </w:rPr>
        <w:t>בממוצע), אך גם ההוצאה הממשלתית שלהן נמוכה יותר בהתאמה, כך שלא נוצר גירעון מצטבר.</w:t>
      </w:r>
      <w:r w:rsidR="006056FD">
        <w:rPr>
          <w:rStyle w:val="FootnoteReference"/>
          <w:rtl/>
        </w:rPr>
        <w:footnoteReference w:id="32"/>
      </w:r>
      <w:r w:rsidR="006056FD">
        <w:rPr>
          <w:rFonts w:hint="cs"/>
          <w:rtl/>
        </w:rPr>
        <w:t xml:space="preserve"> דווקא לפוליטיקאים</w:t>
      </w:r>
      <w:r w:rsidR="00982016">
        <w:rPr>
          <w:rFonts w:hint="cs"/>
          <w:rtl/>
        </w:rPr>
        <w:t xml:space="preserve">, הנבחרים כל ארבע שנים, יש תמריץ גדול יותר לבצע פעולות מועילות לטווח קצר, כגון </w:t>
      </w:r>
      <w:r w:rsidR="006056FD">
        <w:rPr>
          <w:rFonts w:hint="cs"/>
          <w:rtl/>
        </w:rPr>
        <w:t xml:space="preserve">לקיים "כלכלת בחירות" </w:t>
      </w:r>
      <w:r w:rsidR="006056FD">
        <w:rPr>
          <w:rtl/>
        </w:rPr>
        <w:t>–</w:t>
      </w:r>
      <w:r w:rsidR="006056FD">
        <w:rPr>
          <w:rFonts w:hint="cs"/>
          <w:rtl/>
        </w:rPr>
        <w:t xml:space="preserve"> להגדיל את ההוצאות ולהקטין את המיסים לפני הבחירות, כדי להגדיל את סיכוייהם להיבחר שוב.</w:t>
      </w:r>
    </w:p>
    <w:p w14:paraId="14E6762D" w14:textId="2B17255B" w:rsidR="00565D0D" w:rsidRDefault="00565D0D" w:rsidP="0095440A">
      <w:pPr>
        <w:pStyle w:val="Heading3"/>
        <w:rPr>
          <w:rtl/>
        </w:rPr>
      </w:pPr>
      <w:r>
        <w:rPr>
          <w:rFonts w:hint="cs"/>
          <w:rtl/>
        </w:rPr>
        <w:t xml:space="preserve">ג.2. </w:t>
      </w:r>
      <w:r w:rsidR="005230A5">
        <w:rPr>
          <w:rFonts w:hint="cs"/>
          <w:rtl/>
        </w:rPr>
        <w:t xml:space="preserve">בעיית ההון </w:t>
      </w:r>
      <w:r w:rsidR="005230A5">
        <w:rPr>
          <w:rtl/>
        </w:rPr>
        <w:t>–</w:t>
      </w:r>
      <w:r w:rsidR="005230A5">
        <w:rPr>
          <w:rFonts w:hint="cs"/>
          <w:rtl/>
        </w:rPr>
        <w:t xml:space="preserve"> האם אפשר "לקנות" תוצאה?</w:t>
      </w:r>
    </w:p>
    <w:p w14:paraId="0F1ADEEA" w14:textId="2A544937" w:rsidR="00565D0D" w:rsidRDefault="00A74873" w:rsidP="007D4C32">
      <w:pPr>
        <w:rPr>
          <w:rtl/>
        </w:rPr>
      </w:pPr>
      <w:r>
        <w:rPr>
          <w:rFonts w:hint="cs"/>
          <w:rtl/>
        </w:rPr>
        <w:t xml:space="preserve">בעלי הון, שיש להם עניין אישי בתוצאה מסוימת של משאל עם, יכולים להשתמש בהונם על־מנת </w:t>
      </w:r>
      <w:r w:rsidR="0046344F">
        <w:rPr>
          <w:rFonts w:hint="cs"/>
          <w:rtl/>
        </w:rPr>
        <w:t>לפרסם ולקדם</w:t>
      </w:r>
      <w:r>
        <w:rPr>
          <w:rFonts w:hint="cs"/>
          <w:rtl/>
        </w:rPr>
        <w:t xml:space="preserve"> את התוצאה שהם תומכים בה. עם זאת, </w:t>
      </w:r>
      <w:r w:rsidR="0046344F">
        <w:rPr>
          <w:rFonts w:hint="cs"/>
          <w:rtl/>
        </w:rPr>
        <w:t xml:space="preserve">מחקרים אמפיריים מראים </w:t>
      </w:r>
      <w:r>
        <w:rPr>
          <w:rFonts w:hint="cs"/>
          <w:rtl/>
        </w:rPr>
        <w:t>שהשפעת ההון מוגבלת</w:t>
      </w:r>
      <w:r w:rsidR="007D4C32">
        <w:rPr>
          <w:rFonts w:hint="cs"/>
          <w:rtl/>
        </w:rPr>
        <w:t xml:space="preserve"> לכיוון אחד: ההון יכול להגדיל את הסיכוי לתשובה "לא"</w:t>
      </w:r>
      <w:r w:rsidR="007D4C32">
        <w:t xml:space="preserve"> </w:t>
      </w:r>
      <w:r w:rsidR="007D4C32">
        <w:rPr>
          <w:rFonts w:hint="cs"/>
          <w:rtl/>
        </w:rPr>
        <w:t xml:space="preserve">אבל לא לתשובה "כן". כלומר, כשמשאל העם מציע שינוי בסטטוס־קוו, קמפיין ממומן ע"י בעלי הון עשוי לעורר ספקות בציבור לגבי השינוי המוצע, וכך להגדיל את הסיכוי שהתשובה תהיה "לא"; אולם אם בעלי ההון הם שרוצים לשנות את הסטטוס קוו, קמפיין ממומן בדרך־כלל לא יעזור להם בזה; כדי לשנות את הסטטוס־קוו דרושה תמיכה ציבורית רחבה, ובכך יש יתרון דווקא לקבוצות </w:t>
      </w:r>
      <w:r w:rsidR="00244926">
        <w:rPr>
          <w:rFonts w:hint="cs"/>
          <w:rtl/>
        </w:rPr>
        <w:t>אזרחים המתארגנות ב</w:t>
      </w:r>
      <w:r w:rsidR="007D4C32">
        <w:rPr>
          <w:rFonts w:hint="cs"/>
          <w:rtl/>
        </w:rPr>
        <w:t>"שטח".</w:t>
      </w:r>
      <w:r w:rsidR="00D65CD7">
        <w:rPr>
          <w:rStyle w:val="FootnoteReference"/>
          <w:rtl/>
        </w:rPr>
        <w:footnoteReference w:id="33"/>
      </w:r>
      <w:r w:rsidR="00F02CE3">
        <w:t xml:space="preserve"> </w:t>
      </w:r>
      <w:r w:rsidR="00B11921">
        <w:rPr>
          <w:rFonts w:hint="cs"/>
          <w:rtl/>
        </w:rPr>
        <w:t xml:space="preserve"> </w:t>
      </w:r>
    </w:p>
    <w:p w14:paraId="5D20BBF3" w14:textId="39AF7095" w:rsidR="004B08F4" w:rsidRDefault="004B08F4" w:rsidP="007D4C32">
      <w:pPr>
        <w:rPr>
          <w:rtl/>
        </w:rPr>
      </w:pPr>
      <w:r>
        <w:rPr>
          <w:rFonts w:hint="cs"/>
          <w:rtl/>
        </w:rPr>
        <w:t>אמנם, התוצאה אינה מוסכמת על כל החוקרים:</w:t>
      </w:r>
      <w:r>
        <w:t xml:space="preserve"> </w:t>
      </w:r>
      <w:r>
        <w:rPr>
          <w:rFonts w:hint="cs"/>
          <w:rtl/>
        </w:rPr>
        <w:t xml:space="preserve">מחקרים אחרים הראו שהון יכול לפעמים גם להגדיל את הסיכוי לתשובה "כן"; ומחקרים אחרים הראו </w:t>
      </w:r>
      <w:r w:rsidR="00DA3800">
        <w:rPr>
          <w:rFonts w:hint="cs"/>
          <w:rtl/>
        </w:rPr>
        <w:t xml:space="preserve">השפעה חלשה בלבד </w:t>
      </w:r>
      <w:r>
        <w:rPr>
          <w:rFonts w:hint="cs"/>
          <w:rtl/>
        </w:rPr>
        <w:t>של ההון לשני הכיוונים.</w:t>
      </w:r>
      <w:r>
        <w:rPr>
          <w:rStyle w:val="FootnoteReference"/>
          <w:rtl/>
        </w:rPr>
        <w:footnoteReference w:id="34"/>
      </w:r>
    </w:p>
    <w:p w14:paraId="1DD0872D" w14:textId="5141D076" w:rsidR="008D0EDD" w:rsidRDefault="008D0EDD" w:rsidP="008D0EDD">
      <w:pPr>
        <w:rPr>
          <w:rtl/>
        </w:rPr>
      </w:pPr>
      <w:r>
        <w:rPr>
          <w:rFonts w:hint="cs"/>
          <w:rtl/>
        </w:rPr>
        <w:t>המציאות מראה שגם פוליטיקאים מושפעים מאד מבעלי־הון, העוזרים להם לממן את מסע הבחירות. לא ברור שהשפעת ההון על משאלי עם גדולה יותר מהשפעת ההון על פוליטיקאים</w:t>
      </w:r>
      <w:r w:rsidR="00F02CE3">
        <w:rPr>
          <w:rFonts w:hint="cs"/>
          <w:rtl/>
        </w:rPr>
        <w:t>.</w:t>
      </w:r>
      <w:r>
        <w:rPr>
          <w:rFonts w:hint="cs"/>
          <w:rtl/>
        </w:rPr>
        <w:t xml:space="preserve"> </w:t>
      </w:r>
      <w:r w:rsidR="00DC691B">
        <w:rPr>
          <w:rFonts w:hint="cs"/>
          <w:rtl/>
        </w:rPr>
        <w:t xml:space="preserve">סביר להניח </w:t>
      </w:r>
      <w:r>
        <w:rPr>
          <w:rFonts w:hint="cs"/>
          <w:rtl/>
        </w:rPr>
        <w:t>שדווקא ההפך הוא הנכון</w:t>
      </w:r>
      <w:r w:rsidR="00DC691B">
        <w:rPr>
          <w:rFonts w:hint="cs"/>
          <w:rtl/>
        </w:rPr>
        <w:t>, שכן</w:t>
      </w:r>
      <w:r w:rsidR="00F02CE3">
        <w:rPr>
          <w:rFonts w:hint="cs"/>
          <w:rtl/>
        </w:rPr>
        <w:t xml:space="preserve"> זול יותר </w:t>
      </w:r>
      <w:r w:rsidR="00D04A47">
        <w:rPr>
          <w:rFonts w:hint="cs"/>
          <w:rtl/>
        </w:rPr>
        <w:t>"לקנות"</w:t>
      </w:r>
      <w:r w:rsidR="00D04A47">
        <w:t xml:space="preserve"> </w:t>
      </w:r>
      <w:r w:rsidR="00F02CE3">
        <w:rPr>
          <w:rFonts w:hint="cs"/>
          <w:rtl/>
        </w:rPr>
        <w:t>אדם אחד מאשר ציבור שלם.</w:t>
      </w:r>
    </w:p>
    <w:p w14:paraId="38ACFF77" w14:textId="77777777" w:rsidR="0059493D" w:rsidRDefault="0059493D" w:rsidP="0059493D">
      <w:pPr>
        <w:pStyle w:val="Heading3"/>
        <w:rPr>
          <w:rtl/>
        </w:rPr>
      </w:pPr>
      <w:r>
        <w:rPr>
          <w:rFonts w:hint="cs"/>
          <w:rtl/>
        </w:rPr>
        <w:t xml:space="preserve">ג.3. בעיית הקיטוב </w:t>
      </w:r>
      <w:r>
        <w:rPr>
          <w:rtl/>
        </w:rPr>
        <w:t>–</w:t>
      </w:r>
      <w:r>
        <w:rPr>
          <w:rFonts w:hint="cs"/>
          <w:rtl/>
        </w:rPr>
        <w:t xml:space="preserve"> ההון החברתי</w:t>
      </w:r>
    </w:p>
    <w:p w14:paraId="32CE1FF6" w14:textId="14D702FD" w:rsidR="0059493D" w:rsidRDefault="0059493D" w:rsidP="008D0EDD">
      <w:pPr>
        <w:rPr>
          <w:rtl/>
        </w:rPr>
      </w:pPr>
      <w:r w:rsidRPr="0059493D">
        <w:rPr>
          <w:rFonts w:hint="cs"/>
          <w:rtl/>
        </w:rPr>
        <w:t xml:space="preserve">אחת </w:t>
      </w:r>
      <w:r>
        <w:rPr>
          <w:rFonts w:hint="cs"/>
          <w:rtl/>
        </w:rPr>
        <w:t>הטענות נגד משאלי עם היא, שהצגת שאלה בינארית של כן-או-לא עלולה לגרום לקיטוב וחלוקת העם ל"תומכים" לעומת "מתנגדים", וכן</w:t>
      </w:r>
      <w:r w:rsidR="00D15AE6">
        <w:rPr>
          <w:rFonts w:hint="cs"/>
          <w:rtl/>
        </w:rPr>
        <w:t xml:space="preserve"> למנוע את האפשרות של מציאת פשרה בהסכמה רחבה</w:t>
      </w:r>
      <w:r>
        <w:rPr>
          <w:rFonts w:hint="cs"/>
          <w:rtl/>
        </w:rPr>
        <w:t>. זאת לעומת משטר של דמוקרטיה קואליציונית, הדורש דיונים ופשרות בין מפלגות שונות</w:t>
      </w:r>
      <w:r w:rsidR="00D15AE6">
        <w:rPr>
          <w:rFonts w:hint="cs"/>
          <w:rtl/>
        </w:rPr>
        <w:t xml:space="preserve"> כדי להגיע  להסכמה</w:t>
      </w:r>
      <w:r>
        <w:rPr>
          <w:rFonts w:hint="cs"/>
          <w:rtl/>
        </w:rPr>
        <w:t xml:space="preserve">. </w:t>
      </w:r>
    </w:p>
    <w:p w14:paraId="36854D94" w14:textId="4EE78920" w:rsidR="00D15AE6" w:rsidRDefault="00D15AE6" w:rsidP="00D15AE6">
      <w:pPr>
        <w:rPr>
          <w:rtl/>
        </w:rPr>
      </w:pPr>
      <w:r>
        <w:rPr>
          <w:rFonts w:hint="cs"/>
          <w:rtl/>
        </w:rPr>
        <w:lastRenderedPageBreak/>
        <w:t>הניסיון בשווייץ מראה שההיפך הוא הנכון:</w:t>
      </w:r>
      <w:r>
        <w:rPr>
          <w:rStyle w:val="FootnoteReference"/>
          <w:rtl/>
        </w:rPr>
        <w:footnoteReference w:id="35"/>
      </w:r>
      <w:r>
        <w:rPr>
          <w:rFonts w:hint="cs"/>
          <w:rtl/>
        </w:rPr>
        <w:t xml:space="preserve"> דווקא האפשרות, שחוק מסוים יתבטל במשאל עם, נותנת למחוקקים תמריץ לנסח מלכתחילה הצעת חוק מתונה ומכילה, שתזכה להסכמה רחבה. בענייננו, אם ההחלטה על תיקון החוק מתקבלת בכנסת בלבד, הממשלה יכולה להסתמך על הרוב הקואליציוני שיש לה, ולהתעלם מעמדת המיעוט; אולם אם ההחלטה מוכרעת במשאל עם, הממשלה אינה יודעת בוודאות שיהיה לה רוב, </w:t>
      </w:r>
      <w:r w:rsidR="002F6944">
        <w:rPr>
          <w:rFonts w:hint="cs"/>
          <w:rtl/>
        </w:rPr>
        <w:t xml:space="preserve">שכן אין לה אפשרות להפעיל "משמעת קואליציונית" על ציבור הבוחרים. </w:t>
      </w:r>
      <w:r>
        <w:rPr>
          <w:rFonts w:hint="cs"/>
          <w:rtl/>
        </w:rPr>
        <w:t>לכן יש לה תמריץ לנסח את תיקון החוק מחדש, באופן מתון יותר ומתוך הסכמה רחבה, כדי להגדיל את הסיכוי שהתיקון יאושר במשאל.</w:t>
      </w:r>
    </w:p>
    <w:p w14:paraId="77D7C324" w14:textId="281BD6ED" w:rsidR="00183CB1" w:rsidRDefault="00183CB1" w:rsidP="00183CB1">
      <w:pPr>
        <w:rPr>
          <w:rtl/>
        </w:rPr>
      </w:pPr>
      <w:r>
        <w:rPr>
          <w:rFonts w:hint="cs"/>
          <w:rtl/>
        </w:rPr>
        <w:t xml:space="preserve">הידיעה שעתידו של החוק יוכרע במשאל עם נותנת תמריץ לשני הצדדים לנצל את התקופה שלפני המשאל להסברה ושכנוע. הדבר הודגם בישראל בתקופה שלפני משאל מתפקדי הליכוד על תוכנית ההתנתקות (2.5.2004) </w:t>
      </w:r>
      <w:r>
        <w:rPr>
          <w:rtl/>
        </w:rPr>
        <w:t>–</w:t>
      </w:r>
      <w:r>
        <w:rPr>
          <w:rFonts w:hint="cs"/>
          <w:rtl/>
        </w:rPr>
        <w:t xml:space="preserve"> האירוע הקרוב ביותר למשאל־עם שהיה בישראל. מתנגדי ההתנתקות ומתיישבי גוש קטיף וצפון השומרון יצאו למבצע שנקרא "פנים אל פנים", שבו עברו מבית לבית בין מתפקדי הליכוד, וביקשו רשות להיכנס ולדבר על הנושא ולשכנע את המתפקדים להצביע נגד ההתנתקות.</w:t>
      </w:r>
      <w:r>
        <w:rPr>
          <w:rStyle w:val="FootnoteReference"/>
          <w:rtl/>
        </w:rPr>
        <w:footnoteReference w:id="36"/>
      </w:r>
      <w:r>
        <w:rPr>
          <w:rFonts w:hint="cs"/>
          <w:rtl/>
        </w:rPr>
        <w:t xml:space="preserve"> סביר להניח, שגם משאל עם על עילת הסבירות יביא למפגשים פנים אל פנים ולדיונים מעמיקים בין אנשים ממגזרים שונים ובעלי דעות שונות. לפעילים משני הצדדים יהיה תמריץ לדבר עם כל אזרח ואזרח, כי כל קול חשוב ועשוי להכריע. קיומם של מפגשים כאלה עשוי להפחית את הקיטוב ולהגדיל את הלכידות החברתית, וזה כבר יהיה רווח נקי </w:t>
      </w:r>
      <w:r>
        <w:rPr>
          <w:rtl/>
        </w:rPr>
        <w:t>–</w:t>
      </w:r>
      <w:r>
        <w:rPr>
          <w:rFonts w:hint="cs"/>
          <w:rtl/>
        </w:rPr>
        <w:t xml:space="preserve"> בין אם תוצאות המשאל יהיו "כן" או "לא".</w:t>
      </w:r>
    </w:p>
    <w:p w14:paraId="2B663A7C" w14:textId="77777777" w:rsidR="00183CB1" w:rsidRDefault="00183CB1" w:rsidP="00183CB1">
      <w:pPr>
        <w:rPr>
          <w:rtl/>
        </w:rPr>
      </w:pPr>
      <w:r>
        <w:rPr>
          <w:rFonts w:hint="cs"/>
          <w:rtl/>
        </w:rPr>
        <w:t>אמחיש את ההבדל בין מצב זה לבין במצב הנוכחי. בשנת 2023 עברה ליד ביתי כמעט מדי שבוע תהלוכה של מפגינים נגד הרפורמה המשפטית. הם נשאו שלטים, צעקו סיסמאות קצרות, לפעמים חסמו צמתים; אבל מעולם לא ניסו להקיש על דלת ביתי (או כל דלת אחרת) ולנהל דיון מעמיק. הסיבה ברורה: לאזרח פשוט כמוני אין כל השפעה על החוק, ולכן אין טעם לבזבז זמן בניהול דיונים עמו. חשוב יותר לעשות רעש, כמה שיותר רעש, כדי להפעיל לחץ על הממשלה. כמה רב ההבדל בין תרבות הדיון הזו, לבין תרבות הדיון העשויה להיווצר במצב של משאל עם.</w:t>
      </w:r>
      <w:r>
        <w:rPr>
          <w:rStyle w:val="FootnoteReference"/>
          <w:rtl/>
        </w:rPr>
        <w:footnoteReference w:id="37"/>
      </w:r>
      <w:r>
        <w:rPr>
          <w:rFonts w:hint="cs"/>
          <w:rtl/>
        </w:rPr>
        <w:t xml:space="preserve"> </w:t>
      </w:r>
    </w:p>
    <w:p w14:paraId="7E149CFE" w14:textId="096725DA" w:rsidR="00183CB1" w:rsidRDefault="00183CB1" w:rsidP="00356B8F">
      <w:pPr>
        <w:rPr>
          <w:rtl/>
        </w:rPr>
      </w:pPr>
      <w:r>
        <w:rPr>
          <w:rFonts w:hint="cs"/>
          <w:rtl/>
        </w:rPr>
        <w:t>מחקרים שנעשו בשווייץ ובארה"ב מראים, שתרבות של משאלי עם מגבירה את מעורבות האזרחים בענייני הציבור, מעודדת הקמת ארגונים אזרחיים ותרומה לארגונים אזרחיים, ובכך מחזקת את הלכידות ותורמת ליצירת "הון חברתי".</w:t>
      </w:r>
      <w:r>
        <w:rPr>
          <w:rStyle w:val="FootnoteReference"/>
          <w:rtl/>
        </w:rPr>
        <w:footnoteReference w:id="38"/>
      </w:r>
    </w:p>
    <w:p w14:paraId="5B27EA05" w14:textId="71DC666E" w:rsidR="006D6968" w:rsidRDefault="006D6968" w:rsidP="00356B8F">
      <w:pPr>
        <w:rPr>
          <w:rtl/>
        </w:rPr>
      </w:pPr>
      <w:r>
        <w:rPr>
          <w:rFonts w:hint="cs"/>
          <w:rtl/>
        </w:rPr>
        <w:t>טענה נוספת, הקשורה לבעיית הקיטוב, היא הטענה שמשאל עם עלול לפגוע בזכויות המיעוטים. בדמוקרטיה קואליציונית, מיעוטים יכולים להבטיח את זכויותיהם ע"י הצטרפות לקואליציה. עם זאת, מרגע שהוקמה קואליציה יציבה, הכוללת מעל 50%</w:t>
      </w:r>
      <w:r>
        <w:t xml:space="preserve"> </w:t>
      </w:r>
      <w:r>
        <w:rPr>
          <w:rFonts w:hint="cs"/>
          <w:rtl/>
        </w:rPr>
        <w:t xml:space="preserve">מחברי הכנסת, המשמעת הקואליציונית החזקה מבטיחה לה רוב בכל ההצבעות החשובות, ולפיכך אין לה תמריץ להתחשב בדעות המיעוטים שמחוץ לקואליציה. לעומת זאת, במשאל עם אין משמעת קואליציונית, והממשלה אינה יכולה להיות בטוחה </w:t>
      </w:r>
      <w:r>
        <w:rPr>
          <w:rFonts w:hint="cs"/>
          <w:rtl/>
        </w:rPr>
        <w:lastRenderedPageBreak/>
        <w:t>שיהיה לה רוב.</w:t>
      </w:r>
      <w:r>
        <w:t xml:space="preserve"> </w:t>
      </w:r>
      <w:r>
        <w:rPr>
          <w:rFonts w:hint="cs"/>
          <w:rtl/>
        </w:rPr>
        <w:t xml:space="preserve">לכן יש לה תמריץ להתחשב בכל המיעוטים </w:t>
      </w:r>
      <w:r>
        <w:rPr>
          <w:rtl/>
        </w:rPr>
        <w:t>–</w:t>
      </w:r>
      <w:r>
        <w:rPr>
          <w:rFonts w:hint="cs"/>
          <w:rtl/>
        </w:rPr>
        <w:t xml:space="preserve"> גם מיעוטים שבאופוזיציה </w:t>
      </w:r>
      <w:r>
        <w:rPr>
          <w:rtl/>
        </w:rPr>
        <w:t>–</w:t>
      </w:r>
      <w:r>
        <w:rPr>
          <w:rFonts w:hint="cs"/>
          <w:rtl/>
        </w:rPr>
        <w:t xml:space="preserve"> כדי להגדיל את סיכוייה להצליח.</w:t>
      </w:r>
    </w:p>
    <w:p w14:paraId="4252A180" w14:textId="497C3559" w:rsidR="0035069A" w:rsidRDefault="0035069A" w:rsidP="0035069A">
      <w:pPr>
        <w:pStyle w:val="Heading3"/>
        <w:rPr>
          <w:rtl/>
        </w:rPr>
      </w:pPr>
      <w:r>
        <w:rPr>
          <w:rFonts w:hint="cs"/>
          <w:rtl/>
        </w:rPr>
        <w:t>ג.4. בעיית ניסוח שאלת המשאל</w:t>
      </w:r>
    </w:p>
    <w:p w14:paraId="59EBFD74" w14:textId="1EBFFAF4" w:rsidR="00E33641" w:rsidRDefault="004E02A4" w:rsidP="004E02A4">
      <w:pPr>
        <w:rPr>
          <w:rtl/>
        </w:rPr>
      </w:pPr>
      <w:r>
        <w:rPr>
          <w:rFonts w:hint="cs"/>
          <w:rtl/>
        </w:rPr>
        <w:t>בעיה ידועה בעניין משאלי עם היא בעיית ניסוח השאלה. ניסוח השאלה ("</w:t>
      </w:r>
      <w:proofErr w:type="spellStart"/>
      <w:r>
        <w:rPr>
          <w:rFonts w:hint="cs"/>
          <w:rtl/>
        </w:rPr>
        <w:t>פריימינג</w:t>
      </w:r>
      <w:proofErr w:type="spellEnd"/>
      <w:r>
        <w:rPr>
          <w:rFonts w:hint="cs"/>
          <w:rtl/>
        </w:rPr>
        <w:t xml:space="preserve">") עלול להשפיע באופן משמעותי על התשובה. עם זאת, כאשר מדובר במשאל עם שנועד לאשר או לפסול תיקון חקיקה (כמו בעניין עילת הסבירות), יש פתרון ברור לשאלה זו: צריך פשוט להציג לבוחרים את התיקון לחוק, בדיוק כפי שהתקבל בכנסת. </w:t>
      </w:r>
    </w:p>
    <w:p w14:paraId="0CD9CD94" w14:textId="77777777" w:rsidR="004E02A4" w:rsidRPr="00E33641" w:rsidRDefault="004E02A4" w:rsidP="004E02A4">
      <w:pPr>
        <w:rPr>
          <w:rtl/>
        </w:rPr>
      </w:pPr>
    </w:p>
    <w:p w14:paraId="4624159F" w14:textId="0573D26F" w:rsidR="00B135AF" w:rsidRDefault="00B23E2E" w:rsidP="0095440A">
      <w:pPr>
        <w:pStyle w:val="Heading3"/>
        <w:rPr>
          <w:rtl/>
        </w:rPr>
      </w:pPr>
      <w:r>
        <w:rPr>
          <w:rFonts w:hint="cs"/>
          <w:rtl/>
        </w:rPr>
        <w:t>ג.</w:t>
      </w:r>
      <w:r w:rsidR="0035069A">
        <w:rPr>
          <w:rFonts w:hint="cs"/>
          <w:rtl/>
        </w:rPr>
        <w:t>5</w:t>
      </w:r>
      <w:r w:rsidR="00D70385">
        <w:rPr>
          <w:rFonts w:hint="cs"/>
          <w:rtl/>
        </w:rPr>
        <w:t xml:space="preserve">. </w:t>
      </w:r>
      <w:r w:rsidR="00AD679F">
        <w:rPr>
          <w:rFonts w:hint="cs"/>
          <w:rtl/>
        </w:rPr>
        <w:t xml:space="preserve">יתרונות </w:t>
      </w:r>
      <w:r w:rsidR="006D13C8">
        <w:rPr>
          <w:rFonts w:hint="cs"/>
          <w:rtl/>
        </w:rPr>
        <w:t>עקיפים</w:t>
      </w:r>
      <w:r w:rsidR="0062470C">
        <w:rPr>
          <w:rFonts w:hint="cs"/>
          <w:rtl/>
        </w:rPr>
        <w:t xml:space="preserve"> </w:t>
      </w:r>
      <w:r w:rsidR="00AD679F">
        <w:rPr>
          <w:rFonts w:hint="cs"/>
          <w:rtl/>
        </w:rPr>
        <w:t>של משאל עם</w:t>
      </w:r>
    </w:p>
    <w:p w14:paraId="24B3EAD8" w14:textId="13349CDB" w:rsidR="00A65EE5" w:rsidRDefault="006008AD" w:rsidP="00A65EE5">
      <w:pPr>
        <w:rPr>
          <w:rtl/>
        </w:rPr>
      </w:pPr>
      <w:r>
        <w:rPr>
          <w:rFonts w:hint="cs"/>
          <w:rtl/>
        </w:rPr>
        <w:t>מעבר לשאלה ה"נכונות" של החלטת הרוב, למשאל</w:t>
      </w:r>
      <w:r w:rsidR="00B74C7B">
        <w:rPr>
          <w:rFonts w:hint="cs"/>
          <w:rtl/>
        </w:rPr>
        <w:t xml:space="preserve"> </w:t>
      </w:r>
      <w:r>
        <w:rPr>
          <w:rFonts w:hint="cs"/>
          <w:rtl/>
        </w:rPr>
        <w:t xml:space="preserve">עם ישנם יתרונות </w:t>
      </w:r>
      <w:r w:rsidR="00B74C7B">
        <w:rPr>
          <w:rFonts w:hint="cs"/>
          <w:rtl/>
        </w:rPr>
        <w:t>הנובעים מעצם קיומו</w:t>
      </w:r>
      <w:r w:rsidR="00815DE6">
        <w:rPr>
          <w:rFonts w:hint="cs"/>
          <w:rtl/>
        </w:rPr>
        <w:t xml:space="preserve">, בלי קשר לתוצאתו. הזכרתי כבר בסעיף הקודם את הפחתת הקיטוב ועידוד מפגשים פנים אל פנים. </w:t>
      </w:r>
    </w:p>
    <w:p w14:paraId="582B2228" w14:textId="51AE04AD" w:rsidR="004D3992" w:rsidRDefault="00815DE6" w:rsidP="00815DE6">
      <w:pPr>
        <w:rPr>
          <w:rtl/>
        </w:rPr>
      </w:pPr>
      <w:r>
        <w:rPr>
          <w:rFonts w:hint="cs"/>
          <w:rtl/>
        </w:rPr>
        <w:t xml:space="preserve">יתרון נוסף הוא </w:t>
      </w:r>
      <w:r w:rsidR="004D3992">
        <w:rPr>
          <w:rFonts w:hint="cs"/>
          <w:b/>
          <w:bCs/>
          <w:rtl/>
        </w:rPr>
        <w:t>לגיטימציה ו</w:t>
      </w:r>
      <w:r w:rsidR="00AC2A29" w:rsidRPr="005964DA">
        <w:rPr>
          <w:rFonts w:hint="cs"/>
          <w:b/>
          <w:bCs/>
          <w:rtl/>
        </w:rPr>
        <w:t>אמון הציבור</w:t>
      </w:r>
      <w:r w:rsidR="00AC2A29">
        <w:rPr>
          <w:rFonts w:hint="cs"/>
          <w:rtl/>
        </w:rPr>
        <w:t xml:space="preserve">. </w:t>
      </w:r>
      <w:r w:rsidR="001730C0">
        <w:rPr>
          <w:rFonts w:hint="cs"/>
          <w:rtl/>
        </w:rPr>
        <w:t>מחקרים אמפיריים מצאו, שקיום משאלי עם מחזק את הלגיטימציה של השלטון ותורם לייצוב המשטר.</w:t>
      </w:r>
      <w:r w:rsidR="001730C0">
        <w:rPr>
          <w:rStyle w:val="FootnoteReference"/>
          <w:rtl/>
        </w:rPr>
        <w:footnoteReference w:id="39"/>
      </w:r>
      <w:r w:rsidR="00343048">
        <w:rPr>
          <w:rFonts w:hint="cs"/>
          <w:rtl/>
        </w:rPr>
        <w:t xml:space="preserve"> הדבר חשוב במיוחד בישראל. </w:t>
      </w:r>
      <w:r w:rsidR="00AC2A29">
        <w:rPr>
          <w:rFonts w:hint="cs"/>
          <w:rtl/>
        </w:rPr>
        <w:t>אמון הציבור בבית המשפט העליון כיום נע בסביבות ה־40%.</w:t>
      </w:r>
      <w:r w:rsidR="00AC2A29">
        <w:rPr>
          <w:rStyle w:val="FootnoteReference"/>
          <w:rtl/>
        </w:rPr>
        <w:footnoteReference w:id="40"/>
      </w:r>
      <w:r w:rsidR="00AC2A29">
        <w:rPr>
          <w:rFonts w:hint="cs"/>
          <w:rtl/>
        </w:rPr>
        <w:t xml:space="preserve"> זוהי ירידה חדה לעומת 79% בשנת 2004. אמון הוא אחד הנכסים החשובים ביותר של בית המשפט, והירידה באמון זה מסכנת את שלטון החוק.</w:t>
      </w:r>
      <w:r w:rsidR="00AC2A29">
        <w:rPr>
          <w:rStyle w:val="FootnoteReference"/>
          <w:rtl/>
        </w:rPr>
        <w:footnoteReference w:id="41"/>
      </w:r>
      <w:r w:rsidR="00AC2A29">
        <w:rPr>
          <w:rFonts w:hint="cs"/>
          <w:rtl/>
        </w:rPr>
        <w:t xml:space="preserve"> </w:t>
      </w:r>
    </w:p>
    <w:p w14:paraId="59876660" w14:textId="1B864CA3" w:rsidR="00AC2A29" w:rsidRDefault="00AC2A29" w:rsidP="00343048">
      <w:pPr>
        <w:rPr>
          <w:rtl/>
        </w:rPr>
      </w:pPr>
      <w:r>
        <w:rPr>
          <w:rFonts w:hint="cs"/>
          <w:rtl/>
        </w:rPr>
        <w:t>טענה מרכזית הנטענת נגד בית המשפט העליון היא, שמדובר בגוף אליטיסטי ומתנשא, המרשה לעצמו לבטל את רצון רוב העם המתבטא בהחלטות הכנסת.</w:t>
      </w:r>
      <w:r>
        <w:rPr>
          <w:rStyle w:val="FootnoteReference"/>
          <w:rtl/>
        </w:rPr>
        <w:footnoteReference w:id="42"/>
      </w:r>
      <w:r>
        <w:rPr>
          <w:rFonts w:hint="cs"/>
          <w:rtl/>
        </w:rPr>
        <w:t xml:space="preserve"> אם בית המשפט יעביר את ההכרעה בסוגיה זו למשאל עם, הדבר יהפוך את הקערה על פיה: דווקא בית המשפט יתגלה כמי שמכבד את רצון העם.</w:t>
      </w:r>
      <w:r w:rsidR="0039347B">
        <w:rPr>
          <w:rStyle w:val="FootnoteReference"/>
          <w:rtl/>
        </w:rPr>
        <w:footnoteReference w:id="43"/>
      </w:r>
      <w:r w:rsidR="0039347B">
        <w:rPr>
          <w:rFonts w:hint="cs"/>
          <w:rtl/>
        </w:rPr>
        <w:t xml:space="preserve"> </w:t>
      </w:r>
      <w:r>
        <w:rPr>
          <w:rFonts w:hint="cs"/>
          <w:rtl/>
        </w:rPr>
        <w:t xml:space="preserve"> </w:t>
      </w:r>
    </w:p>
    <w:p w14:paraId="2887F2B8" w14:textId="08B963C2" w:rsidR="00526D43" w:rsidRDefault="00361FA4" w:rsidP="007E5CA1">
      <w:pPr>
        <w:rPr>
          <w:rtl/>
        </w:rPr>
      </w:pPr>
      <w:r w:rsidRPr="00361FA4">
        <w:rPr>
          <w:rFonts w:hint="cs"/>
          <w:rtl/>
        </w:rPr>
        <w:t>יתרון נוסף הוא</w:t>
      </w:r>
      <w:r w:rsidR="00457DB3" w:rsidRPr="00457DB3">
        <w:rPr>
          <w:rFonts w:hint="cs"/>
          <w:b/>
          <w:bCs/>
          <w:rtl/>
        </w:rPr>
        <w:t xml:space="preserve"> </w:t>
      </w:r>
      <w:r w:rsidR="009359D0">
        <w:rPr>
          <w:rFonts w:hint="cs"/>
          <w:b/>
          <w:bCs/>
          <w:rtl/>
        </w:rPr>
        <w:t>שיפור</w:t>
      </w:r>
      <w:r w:rsidR="00457DB3" w:rsidRPr="00457DB3">
        <w:rPr>
          <w:rFonts w:hint="cs"/>
          <w:b/>
          <w:bCs/>
          <w:rtl/>
        </w:rPr>
        <w:t xml:space="preserve"> איכות נבחרי הציבור</w:t>
      </w:r>
      <w:r w:rsidR="00457DB3">
        <w:rPr>
          <w:rFonts w:hint="cs"/>
          <w:rtl/>
        </w:rPr>
        <w:t xml:space="preserve">. </w:t>
      </w:r>
      <w:r w:rsidR="00BC2945">
        <w:rPr>
          <w:rFonts w:hint="cs"/>
          <w:rtl/>
        </w:rPr>
        <w:t xml:space="preserve">כיום, אנשים מחליטים לאיזו מפלגה להצביע לפי שיקול אחד מרכזי </w:t>
      </w:r>
      <w:r w:rsidR="00BC2945">
        <w:rPr>
          <w:rtl/>
        </w:rPr>
        <w:t>–</w:t>
      </w:r>
      <w:r w:rsidR="00BC2945">
        <w:rPr>
          <w:rFonts w:hint="cs"/>
          <w:rtl/>
        </w:rPr>
        <w:t xml:space="preserve"> בדרך־כלל לפי השקפה מדינית־בטחונית או כלכלית או דתית.</w:t>
      </w:r>
      <w:r w:rsidR="008A0019">
        <w:rPr>
          <w:rFonts w:hint="cs"/>
          <w:rtl/>
        </w:rPr>
        <w:t xml:space="preserve"> שיקולים כגון כישרון או נקיון־כפיים נדחקים הצידה; אדם בעל השקפה "ימנית" בדרך־כלל לא יצביע למפלגת "שמאל" (ולהפך), גם אם חבריה נחשבים בעיניו מוכשרים או ישרים יותר, כי אינו יכול להרשות לעצמו "לבזבז" את הקול היחיד שיש לו בארבע שנים, על מפלגה בעלת אידיאולוגיה הפוכה משלו. אולם כאשר נושאים אידיאולוגיים מוכרעים במשאלי עם הנערכים בנפרד מהבחירות לכנסת, הבוחרים יכולים לנצל את הקול שלהם בבחירות כדי לבחור במועמדים איכותיים </w:t>
      </w:r>
      <w:r w:rsidR="007E5CA1">
        <w:rPr>
          <w:rFonts w:hint="cs"/>
          <w:rtl/>
        </w:rPr>
        <w:t xml:space="preserve">וישרים </w:t>
      </w:r>
      <w:r w:rsidR="008A0019">
        <w:rPr>
          <w:rFonts w:hint="cs"/>
          <w:rtl/>
        </w:rPr>
        <w:t xml:space="preserve">יותר, מבלי לדאוג שבחירה זו תגרום לפגיעה </w:t>
      </w:r>
      <w:r w:rsidR="008A0019">
        <w:rPr>
          <w:rFonts w:hint="cs"/>
          <w:rtl/>
        </w:rPr>
        <w:lastRenderedPageBreak/>
        <w:t>בערכים החשובים להם.</w:t>
      </w:r>
      <w:r w:rsidR="006B4CCD">
        <w:rPr>
          <w:rFonts w:hint="cs"/>
          <w:rtl/>
        </w:rPr>
        <w:t xml:space="preserve"> </w:t>
      </w:r>
      <w:r w:rsidR="005B7F1C">
        <w:rPr>
          <w:rFonts w:hint="cs"/>
          <w:rtl/>
        </w:rPr>
        <w:t xml:space="preserve">תמיכה אמפירית בטענה זו ניתן למצוא </w:t>
      </w:r>
      <w:r w:rsidR="005B5221">
        <w:rPr>
          <w:rFonts w:hint="cs"/>
          <w:rtl/>
        </w:rPr>
        <w:t xml:space="preserve">במחקריו </w:t>
      </w:r>
      <w:r w:rsidR="005B7F1C">
        <w:rPr>
          <w:rFonts w:hint="cs"/>
          <w:rtl/>
        </w:rPr>
        <w:t>של פרופ' סטפן וויגט מאוניברסיטת המבורג</w:t>
      </w:r>
      <w:r w:rsidR="003D7333">
        <w:rPr>
          <w:rFonts w:hint="cs"/>
          <w:rtl/>
        </w:rPr>
        <w:t xml:space="preserve">, </w:t>
      </w:r>
      <w:r w:rsidR="005B5221">
        <w:rPr>
          <w:rFonts w:hint="cs"/>
          <w:rtl/>
        </w:rPr>
        <w:t xml:space="preserve">המראים </w:t>
      </w:r>
      <w:r w:rsidR="003D7333">
        <w:rPr>
          <w:rFonts w:hint="cs"/>
          <w:rtl/>
        </w:rPr>
        <w:t xml:space="preserve">מתאם חיובי בין ביצוע משאלי עם רבים יותר, לבין ירידה בשחיתות </w:t>
      </w:r>
      <w:r w:rsidR="005B5221">
        <w:rPr>
          <w:rFonts w:hint="cs"/>
          <w:rtl/>
        </w:rPr>
        <w:t xml:space="preserve">השלטונית </w:t>
      </w:r>
      <w:r w:rsidR="003D7333">
        <w:rPr>
          <w:rFonts w:hint="cs"/>
          <w:rtl/>
        </w:rPr>
        <w:t>ושיפור יעילות השלטון.</w:t>
      </w:r>
      <w:r w:rsidR="005B7F1C">
        <w:rPr>
          <w:rStyle w:val="FootnoteReference"/>
          <w:rtl/>
        </w:rPr>
        <w:footnoteReference w:id="44"/>
      </w:r>
    </w:p>
    <w:p w14:paraId="74971834" w14:textId="626DE005" w:rsidR="00AC2A29" w:rsidRDefault="00AC2A29" w:rsidP="006E091A">
      <w:pPr>
        <w:rPr>
          <w:rtl/>
        </w:rPr>
      </w:pPr>
      <w:r>
        <w:rPr>
          <w:rFonts w:hint="cs"/>
          <w:rtl/>
        </w:rPr>
        <w:t xml:space="preserve">אמנם, יש להדגיש שהיתרונות שנמנו בפרק זה נצפו בחברות שיש בהן תרבות של משאלי עם קבועים (כגון שווייץ וחלק מהמדינות בארה"ב), ולא משאל עם חד־פעמי. </w:t>
      </w:r>
      <w:r w:rsidR="006E091A">
        <w:rPr>
          <w:rFonts w:hint="cs"/>
          <w:rtl/>
        </w:rPr>
        <w:t>במשאל עם חד־פעמי חשוב שתהיה דרישה למספר משתתפים מינימלי, על־מנת למנוע מצב שבו מיעוט המשתתף במשאל עם מקבל החלטה המנוגדת לרצון "הרוב הדומם".</w:t>
      </w:r>
      <w:r w:rsidR="009B1297">
        <w:rPr>
          <w:rStyle w:val="FootnoteReference"/>
          <w:rtl/>
        </w:rPr>
        <w:footnoteReference w:id="45"/>
      </w:r>
      <w:r w:rsidR="009B1297">
        <w:rPr>
          <w:rFonts w:hint="cs"/>
          <w:rtl/>
        </w:rPr>
        <w:t xml:space="preserve"> </w:t>
      </w:r>
      <w:r>
        <w:rPr>
          <w:rFonts w:hint="cs"/>
          <w:rtl/>
        </w:rPr>
        <w:t>ציינתי אותם כאן מתוך תקווה, שמשאל עם בעניין אחד יפתח פתח למשאלי עם נוספים</w:t>
      </w:r>
      <w:r w:rsidR="006B18D4">
        <w:rPr>
          <w:rFonts w:hint="cs"/>
          <w:rtl/>
        </w:rPr>
        <w:t>,</w:t>
      </w:r>
      <w:r>
        <w:rPr>
          <w:rFonts w:hint="cs"/>
          <w:rtl/>
        </w:rPr>
        <w:t xml:space="preserve"> ובסופו של דבר לחקיקה קבועה בנושא.</w:t>
      </w:r>
    </w:p>
    <w:p w14:paraId="2949830D" w14:textId="016BB082" w:rsidR="00863AC4" w:rsidRDefault="0090779C" w:rsidP="00863AC4">
      <w:pPr>
        <w:pStyle w:val="Heading2"/>
        <w:rPr>
          <w:rtl/>
        </w:rPr>
      </w:pPr>
      <w:r>
        <w:rPr>
          <w:rFonts w:hint="cs"/>
          <w:rtl/>
        </w:rPr>
        <w:t>ד</w:t>
      </w:r>
      <w:r w:rsidR="00863AC4">
        <w:rPr>
          <w:rFonts w:hint="cs"/>
          <w:rtl/>
        </w:rPr>
        <w:t xml:space="preserve">. </w:t>
      </w:r>
      <w:r w:rsidR="00682EEE">
        <w:rPr>
          <w:rFonts w:hint="cs"/>
          <w:rtl/>
        </w:rPr>
        <w:t>חלופ</w:t>
      </w:r>
      <w:r w:rsidR="002F1F0C">
        <w:rPr>
          <w:rFonts w:hint="cs"/>
          <w:rtl/>
        </w:rPr>
        <w:t>ה:</w:t>
      </w:r>
      <w:r w:rsidR="002F1F0C">
        <w:t xml:space="preserve"> </w:t>
      </w:r>
      <w:r w:rsidR="002F1F0C">
        <w:rPr>
          <w:rFonts w:hint="cs"/>
          <w:rtl/>
        </w:rPr>
        <w:t>ועדת מומחים</w:t>
      </w:r>
    </w:p>
    <w:p w14:paraId="04355ACD" w14:textId="11587E75" w:rsidR="00B135AF" w:rsidRDefault="00000000">
      <w:pPr>
        <w:rPr>
          <w:rtl/>
        </w:rPr>
      </w:pPr>
      <w:r>
        <w:rPr>
          <w:rFonts w:hint="cs"/>
          <w:rtl/>
        </w:rPr>
        <w:t>לצד הפתרון של משאל</w:t>
      </w:r>
      <w:r w:rsidR="00682EEE">
        <w:rPr>
          <w:rFonts w:hint="cs"/>
          <w:rtl/>
        </w:rPr>
        <w:t xml:space="preserve"> </w:t>
      </w:r>
      <w:r>
        <w:rPr>
          <w:rFonts w:hint="cs"/>
          <w:rtl/>
        </w:rPr>
        <w:t>עם, ראוי לבחון חלופה נוספת שהועלתה בספרות: העברת ההכרעה לגוף שלישי בלתי-תלוי, כגון ועדת אד-הוק של מומחים משפטיים.</w:t>
      </w:r>
    </w:p>
    <w:p w14:paraId="4082A3BB" w14:textId="3B1A3CDB" w:rsidR="00B135AF" w:rsidRDefault="002C4608">
      <w:r>
        <w:rPr>
          <w:rFonts w:hint="cs"/>
          <w:rtl/>
        </w:rPr>
        <w:t xml:space="preserve">כדוגמה, פרופ' מייקל ברויד מאוניברסיטת אמורי הציע כי מחלוקות בנושא פסלות שופטים בבית המשפט העליון </w:t>
      </w:r>
      <w:r w:rsidR="008B2922">
        <w:rPr>
          <w:rFonts w:hint="cs"/>
          <w:rtl/>
        </w:rPr>
        <w:t xml:space="preserve">של ארה"ב </w:t>
      </w:r>
      <w:r>
        <w:rPr>
          <w:rFonts w:hint="cs"/>
          <w:rtl/>
        </w:rPr>
        <w:t>יועברו להכרעת פאנל חיצוני המורכב משבעת נשיאי בתי המשפט הפדרליים לערעורים הוותיקים ביותר.</w:t>
      </w:r>
      <w:r w:rsidR="00A438DF" w:rsidRPr="00A438DF">
        <w:rPr>
          <w:rStyle w:val="FootnoteReference"/>
        </w:rPr>
        <w:t xml:space="preserve"> </w:t>
      </w:r>
      <w:r w:rsidR="00A438DF">
        <w:rPr>
          <w:rStyle w:val="FootnoteReference"/>
        </w:rPr>
        <w:footnoteReference w:id="46"/>
      </w:r>
      <w:r>
        <w:rPr>
          <w:rFonts w:hint="cs"/>
          <w:rtl/>
        </w:rPr>
        <w:t xml:space="preserve"> הצעה דומה העלתה שופטת בית המשפט העליון האמריקני אלנה קגן בשנת 2024, אשר הציעה כי ועדה של שופטים מכובדים, שתמונה על-ידי נשיא בית המשפט העליון, תשמש כגוף פיקוח על שאלות אתיות ופסלות.</w:t>
      </w:r>
      <w:r>
        <w:rPr>
          <w:rStyle w:val="FootnoteReference"/>
        </w:rPr>
        <w:footnoteReference w:id="47"/>
      </w:r>
    </w:p>
    <w:p w14:paraId="6ED005B0" w14:textId="3093D550" w:rsidR="00B135AF" w:rsidRDefault="00000000">
      <w:pPr>
        <w:rPr>
          <w:rtl/>
        </w:rPr>
      </w:pPr>
      <w:r>
        <w:rPr>
          <w:rFonts w:hint="cs"/>
          <w:rtl/>
        </w:rPr>
        <w:t>קיים גם תקדים היסטורי לכינון פאנל חיצוני לחלוטין: כאשר כל שופטי בית המשפט העליון של טקסס נאלצו לפסול את עצמם בתיק מסוים, מינה מושל המדינה הרכב מיוחד של שלוש נשים כדי לדון בתיק.</w:t>
      </w:r>
      <w:r>
        <w:rPr>
          <w:rStyle w:val="FootnoteReference"/>
        </w:rPr>
        <w:footnoteReference w:id="48"/>
      </w:r>
    </w:p>
    <w:p w14:paraId="3D771917" w14:textId="77777777" w:rsidR="00B135AF" w:rsidRDefault="00000000">
      <w:pPr>
        <w:rPr>
          <w:rtl/>
        </w:rPr>
      </w:pPr>
      <w:r>
        <w:rPr>
          <w:rFonts w:hint="cs"/>
          <w:b/>
          <w:bCs/>
          <w:rtl/>
        </w:rPr>
        <w:t>יתרונות וחסרונות בהשוואה למשאל עם</w:t>
      </w:r>
    </w:p>
    <w:p w14:paraId="1D0A4D6A" w14:textId="34A4C8CB" w:rsidR="00B135AF" w:rsidRDefault="00000000">
      <w:pPr>
        <w:rPr>
          <w:rtl/>
        </w:rPr>
      </w:pPr>
      <w:r>
        <w:rPr>
          <w:rFonts w:hint="cs"/>
          <w:rtl/>
        </w:rPr>
        <w:t>לוועדת מומחים אד</w:t>
      </w:r>
      <w:r w:rsidR="00DF60F2">
        <w:rPr>
          <w:rFonts w:hint="cs"/>
          <w:rtl/>
        </w:rPr>
        <w:t>־</w:t>
      </w:r>
      <w:r>
        <w:rPr>
          <w:rFonts w:hint="cs"/>
          <w:rtl/>
        </w:rPr>
        <w:t>הוק מספר יתרונות: המומחיות המשפטית של חבריה מבטיחה דיון מעמיק ומקצועי; ההליך מהיר ויעיל יותר ממשאל עם; והתוצאה צפויה להיות מנומקת משפטית. אולם, לפתרון זה גם חסרונות מהותיים. ראשית, שאלת בחירת חברי הוועדה עצמה מעוררת בעיות – מי בוחר את המומחים, ומה מבטיח שלא יהיו להם אינטרסים משלהם? שנית, ועדת מומחים אינה נהנית מאותה לגיטימ</w:t>
      </w:r>
      <w:r w:rsidR="00877AFD">
        <w:rPr>
          <w:rFonts w:hint="cs"/>
          <w:rtl/>
        </w:rPr>
        <w:t>ציה</w:t>
      </w:r>
      <w:r>
        <w:rPr>
          <w:rFonts w:hint="cs"/>
          <w:rtl/>
        </w:rPr>
        <w:t xml:space="preserve"> </w:t>
      </w:r>
      <w:r>
        <w:rPr>
          <w:rFonts w:hint="cs"/>
          <w:rtl/>
        </w:rPr>
        <w:lastRenderedPageBreak/>
        <w:t>ציבורית כמו משאל עם, ולכן ייתכן שהחלטתה לא תזכה לקבלה ציבורית רחבה. שלישית, מומחים משפטיים – ובפרט שופטים בדימוס ופרופסורים למשפטים – שייכים בדרך כלל לאותה "משפחה מקצועית" כמו שופטי בית המשפט העליון, ולפיכך ייתכן שניגוד העניינים אינו מסולק לחלוטין.</w:t>
      </w:r>
    </w:p>
    <w:p w14:paraId="126D9400" w14:textId="2C719D62" w:rsidR="0016757B" w:rsidRDefault="00DA4450" w:rsidP="00CA3050">
      <w:pPr>
        <w:rPr>
          <w:rtl/>
        </w:rPr>
      </w:pPr>
      <w:r>
        <w:rPr>
          <w:rFonts w:hint="cs"/>
          <w:rtl/>
        </w:rPr>
        <w:t xml:space="preserve">אפשר לשלב בין שני הפתרונות: ועדת מומחים </w:t>
      </w:r>
      <w:r w:rsidR="002744D3">
        <w:rPr>
          <w:rFonts w:hint="cs"/>
          <w:rtl/>
        </w:rPr>
        <w:t>תקבע את כללי המשאל, תנסח את השאלה ותפקח על ה</w:t>
      </w:r>
      <w:r w:rsidR="001250F8">
        <w:rPr>
          <w:rFonts w:hint="cs"/>
          <w:rtl/>
        </w:rPr>
        <w:t>ביצוע</w:t>
      </w:r>
      <w:r>
        <w:rPr>
          <w:rFonts w:hint="cs"/>
          <w:rtl/>
        </w:rPr>
        <w:t>, והציבור יכריע</w:t>
      </w:r>
      <w:r w:rsidR="001D5092">
        <w:rPr>
          <w:rFonts w:hint="cs"/>
          <w:rtl/>
        </w:rPr>
        <w:t xml:space="preserve"> בקלפי</w:t>
      </w:r>
      <w:r>
        <w:rPr>
          <w:rFonts w:hint="cs"/>
          <w:rtl/>
        </w:rPr>
        <w:t>.</w:t>
      </w:r>
    </w:p>
    <w:p w14:paraId="10D37C0D" w14:textId="6AEA944F" w:rsidR="00F8711E" w:rsidRPr="00D7238E" w:rsidRDefault="0099642C" w:rsidP="00F8711E">
      <w:pPr>
        <w:pStyle w:val="Heading2"/>
        <w:rPr>
          <w:rtl/>
        </w:rPr>
      </w:pPr>
      <w:r>
        <w:rPr>
          <w:rFonts w:hint="cs"/>
          <w:rtl/>
        </w:rPr>
        <w:t xml:space="preserve">ה. </w:t>
      </w:r>
      <w:r w:rsidR="00E34DE5">
        <w:rPr>
          <w:rFonts w:hint="cs"/>
          <w:rtl/>
        </w:rPr>
        <w:t>תם ולא נשלם</w:t>
      </w:r>
    </w:p>
    <w:p w14:paraId="75B820D2" w14:textId="44104BDA" w:rsidR="00CA3050" w:rsidRDefault="00E34DE5" w:rsidP="006278DE">
      <w:pPr>
        <w:rPr>
          <w:rtl/>
        </w:rPr>
      </w:pPr>
      <w:r>
        <w:rPr>
          <w:rFonts w:hint="cs"/>
          <w:rtl/>
        </w:rPr>
        <w:t>הפסיקה בעניין עילת הסבירות כבר ניתנה</w:t>
      </w:r>
      <w:r w:rsidR="0068284E">
        <w:rPr>
          <w:rFonts w:hint="cs"/>
          <w:rtl/>
        </w:rPr>
        <w:t>; אולם המאבק על גבולות הסמכות של הרשויות השונות עדיין בעיצומו. בעת כתיבת שורות אלה, מתנהל בבג"ץ דיון על הדחת</w:t>
      </w:r>
      <w:r w:rsidR="00C86D0C">
        <w:rPr>
          <w:rFonts w:hint="cs"/>
          <w:rtl/>
        </w:rPr>
        <w:t xml:space="preserve"> איתמר בן־גביר מהמשרד </w:t>
      </w:r>
      <w:r w:rsidR="0068284E">
        <w:rPr>
          <w:rFonts w:hint="cs"/>
          <w:rtl/>
        </w:rPr>
        <w:t xml:space="preserve">לביטחון פנים. גם בדיון זה, השאלה </w:t>
      </w:r>
      <w:r w:rsidR="00101884">
        <w:rPr>
          <w:rFonts w:hint="cs"/>
          <w:rtl/>
        </w:rPr>
        <w:t xml:space="preserve">המרכזית </w:t>
      </w:r>
      <w:r w:rsidR="0068284E">
        <w:rPr>
          <w:rFonts w:hint="cs"/>
          <w:rtl/>
        </w:rPr>
        <w:t xml:space="preserve">היא שאלת הסמכות </w:t>
      </w:r>
      <w:r w:rsidR="0068284E">
        <w:rPr>
          <w:rtl/>
        </w:rPr>
        <w:t>–</w:t>
      </w:r>
      <w:r w:rsidR="0068284E">
        <w:rPr>
          <w:rFonts w:hint="cs"/>
          <w:rtl/>
        </w:rPr>
        <w:t xml:space="preserve"> האם לבג"ץ יש סמכות להדיח שר</w:t>
      </w:r>
      <w:r w:rsidR="006278DE">
        <w:rPr>
          <w:rFonts w:hint="cs"/>
          <w:rtl/>
        </w:rPr>
        <w:t xml:space="preserve"> מתפקידו.</w:t>
      </w:r>
      <w:r w:rsidR="00DE1C4A">
        <w:rPr>
          <w:rFonts w:hint="cs"/>
          <w:rtl/>
        </w:rPr>
        <w:t xml:space="preserve"> מאבק הסמכויות </w:t>
      </w:r>
      <w:r w:rsidR="0067671D">
        <w:rPr>
          <w:rFonts w:hint="cs"/>
          <w:rtl/>
        </w:rPr>
        <w:t xml:space="preserve">כנראה </w:t>
      </w:r>
      <w:r w:rsidR="00DE1C4A">
        <w:rPr>
          <w:rFonts w:hint="cs"/>
          <w:rtl/>
        </w:rPr>
        <w:t>יימשך בעתיד</w:t>
      </w:r>
      <w:r w:rsidR="0067671D">
        <w:rPr>
          <w:rFonts w:hint="cs"/>
          <w:rtl/>
        </w:rPr>
        <w:t xml:space="preserve"> הנראה לעין</w:t>
      </w:r>
      <w:r w:rsidR="00DE1C4A">
        <w:rPr>
          <w:rFonts w:hint="cs"/>
          <w:rtl/>
        </w:rPr>
        <w:t xml:space="preserve">. </w:t>
      </w:r>
    </w:p>
    <w:p w14:paraId="067072A9" w14:textId="3AD5B92F" w:rsidR="00F95DFC" w:rsidRDefault="00CD58BE" w:rsidP="00CD58BE">
      <w:pPr>
        <w:rPr>
          <w:rtl/>
        </w:rPr>
      </w:pPr>
      <w:r>
        <w:rPr>
          <w:rFonts w:hint="cs"/>
          <w:rtl/>
        </w:rPr>
        <w:t>אילו החוק בישראל היה מחייב קיום משאל עם על שינויים חוקתיים</w:t>
      </w:r>
      <w:r w:rsidR="000832BD">
        <w:rPr>
          <w:rFonts w:hint="cs"/>
          <w:rtl/>
        </w:rPr>
        <w:t xml:space="preserve">, או לפחות על נושאים הנוגעים ישירות לגבולות הסמכות של הרשויות השונות, </w:t>
      </w:r>
      <w:r w:rsidR="004A7D43">
        <w:rPr>
          <w:rFonts w:hint="cs"/>
          <w:rtl/>
        </w:rPr>
        <w:t xml:space="preserve">מאבק הסמכויות </w:t>
      </w:r>
      <w:r>
        <w:rPr>
          <w:rFonts w:hint="cs"/>
          <w:rtl/>
        </w:rPr>
        <w:t xml:space="preserve">היה </w:t>
      </w:r>
      <w:r w:rsidR="004A7D43">
        <w:rPr>
          <w:rFonts w:hint="cs"/>
          <w:rtl/>
        </w:rPr>
        <w:t xml:space="preserve">נפתר </w:t>
      </w:r>
      <w:r w:rsidR="000832BD">
        <w:rPr>
          <w:rFonts w:hint="cs"/>
          <w:rtl/>
        </w:rPr>
        <w:t>מאליו</w:t>
      </w:r>
      <w:r>
        <w:rPr>
          <w:rFonts w:hint="cs"/>
          <w:rtl/>
        </w:rPr>
        <w:t xml:space="preserve">. אולם המחוקקים בישראל </w:t>
      </w:r>
      <w:r w:rsidR="004A7D43">
        <w:rPr>
          <w:rFonts w:hint="cs"/>
          <w:rtl/>
        </w:rPr>
        <w:t xml:space="preserve">כרגע </w:t>
      </w:r>
      <w:r>
        <w:rPr>
          <w:rFonts w:hint="cs"/>
          <w:rtl/>
        </w:rPr>
        <w:t>אינם הולכים בכיוון זה</w:t>
      </w:r>
      <w:r w:rsidR="004A7D43">
        <w:rPr>
          <w:rFonts w:hint="cs"/>
          <w:rtl/>
        </w:rPr>
        <w:t xml:space="preserve">; נראה שאין להם תמריץ </w:t>
      </w:r>
      <w:r w:rsidR="00CA4631">
        <w:rPr>
          <w:rFonts w:hint="cs"/>
          <w:rtl/>
        </w:rPr>
        <w:t xml:space="preserve">לבצע </w:t>
      </w:r>
      <w:r w:rsidR="00C072CD">
        <w:rPr>
          <w:rFonts w:hint="cs"/>
          <w:rtl/>
        </w:rPr>
        <w:t>משאלי עם, העלולים להחליש את כוחן של המפלגות</w:t>
      </w:r>
      <w:r>
        <w:rPr>
          <w:rFonts w:hint="cs"/>
          <w:rtl/>
        </w:rPr>
        <w:t>.</w:t>
      </w:r>
      <w:r w:rsidR="00D04C3A">
        <w:rPr>
          <w:rStyle w:val="FootnoteReference"/>
          <w:rtl/>
        </w:rPr>
        <w:footnoteReference w:id="49"/>
      </w:r>
      <w:r>
        <w:rPr>
          <w:rFonts w:hint="cs"/>
          <w:rtl/>
        </w:rPr>
        <w:t xml:space="preserve"> </w:t>
      </w:r>
    </w:p>
    <w:p w14:paraId="680474AF" w14:textId="2E38FF6C" w:rsidR="00CD58BE" w:rsidRDefault="00B45070" w:rsidP="00B45070">
      <w:pPr>
        <w:rPr>
          <w:rtl/>
        </w:rPr>
      </w:pPr>
      <w:r>
        <w:rPr>
          <w:rFonts w:hint="cs"/>
          <w:rtl/>
        </w:rPr>
        <w:t>החידוש העיקרי במאמר זה הוא ההצעה, ש</w:t>
      </w:r>
      <w:r w:rsidR="00CD58BE">
        <w:rPr>
          <w:rFonts w:hint="cs"/>
          <w:rtl/>
        </w:rPr>
        <w:t xml:space="preserve">שופטי בג"ץ </w:t>
      </w:r>
      <w:r>
        <w:rPr>
          <w:rFonts w:hint="cs"/>
          <w:rtl/>
        </w:rPr>
        <w:t xml:space="preserve">ייקחו את </w:t>
      </w:r>
      <w:r w:rsidR="00CD58BE">
        <w:rPr>
          <w:rFonts w:hint="cs"/>
          <w:rtl/>
        </w:rPr>
        <w:t>היוזמה</w:t>
      </w:r>
      <w:r>
        <w:rPr>
          <w:rFonts w:hint="cs"/>
          <w:rtl/>
        </w:rPr>
        <w:t xml:space="preserve"> לידיהם, ויורו </w:t>
      </w:r>
      <w:r w:rsidR="00CD58BE">
        <w:rPr>
          <w:rFonts w:hint="cs"/>
          <w:rtl/>
        </w:rPr>
        <w:t>על קיום משאל עם</w:t>
      </w:r>
      <w:r>
        <w:rPr>
          <w:rFonts w:hint="cs"/>
          <w:rtl/>
        </w:rPr>
        <w:t>,</w:t>
      </w:r>
      <w:r w:rsidR="00CD58BE">
        <w:rPr>
          <w:rFonts w:hint="cs"/>
          <w:rtl/>
        </w:rPr>
        <w:t xml:space="preserve"> למרות שהדבר אינו מחויב בחוק.</w:t>
      </w:r>
      <w:r>
        <w:rPr>
          <w:rFonts w:hint="cs"/>
          <w:rtl/>
        </w:rPr>
        <w:t xml:space="preserve"> זו הצעה חדשנית </w:t>
      </w:r>
      <w:r>
        <w:rPr>
          <w:rtl/>
        </w:rPr>
        <w:t>–</w:t>
      </w:r>
      <w:r>
        <w:rPr>
          <w:rFonts w:hint="cs"/>
          <w:rtl/>
        </w:rPr>
        <w:t xml:space="preserve"> לא מצאתי תקדים </w:t>
      </w:r>
      <w:r w:rsidR="00265F8D">
        <w:rPr>
          <w:rFonts w:hint="cs"/>
          <w:rtl/>
        </w:rPr>
        <w:t xml:space="preserve">להחלטה </w:t>
      </w:r>
      <w:r>
        <w:rPr>
          <w:rFonts w:hint="cs"/>
          <w:rtl/>
        </w:rPr>
        <w:t xml:space="preserve">מעין זו </w:t>
      </w:r>
      <w:r w:rsidR="00265F8D">
        <w:rPr>
          <w:rFonts w:hint="cs"/>
          <w:rtl/>
        </w:rPr>
        <w:t>בבית משפט של מדינה אחרת</w:t>
      </w:r>
      <w:r>
        <w:rPr>
          <w:rFonts w:hint="cs"/>
          <w:rtl/>
        </w:rPr>
        <w:t xml:space="preserve">. </w:t>
      </w:r>
      <w:r w:rsidR="00265F8D">
        <w:rPr>
          <w:rFonts w:hint="cs"/>
          <w:rtl/>
        </w:rPr>
        <w:t>או</w:t>
      </w:r>
      <w:r w:rsidR="00547867">
        <w:rPr>
          <w:rFonts w:hint="cs"/>
          <w:rtl/>
        </w:rPr>
        <w:t>לם גם המשבר החוקתי שמדינת ישראל נמצאת בו הוא חסר־תקדים</w:t>
      </w:r>
      <w:r w:rsidR="00265F8D">
        <w:rPr>
          <w:rFonts w:hint="cs"/>
          <w:rtl/>
        </w:rPr>
        <w:t xml:space="preserve">. </w:t>
      </w:r>
      <w:r w:rsidR="00461DDC">
        <w:rPr>
          <w:rFonts w:hint="cs"/>
          <w:rtl/>
        </w:rPr>
        <w:t xml:space="preserve">אפשר </w:t>
      </w:r>
      <w:r w:rsidR="007031DA">
        <w:rPr>
          <w:rFonts w:hint="cs"/>
          <w:rtl/>
        </w:rPr>
        <w:t xml:space="preserve">לבסס </w:t>
      </w:r>
      <w:r w:rsidR="00461DDC">
        <w:rPr>
          <w:rFonts w:hint="cs"/>
          <w:rtl/>
        </w:rPr>
        <w:t>החל</w:t>
      </w:r>
      <w:r w:rsidR="00E6187D">
        <w:rPr>
          <w:rFonts w:hint="cs"/>
          <w:rtl/>
        </w:rPr>
        <w:t>ט</w:t>
      </w:r>
      <w:r w:rsidR="00461DDC">
        <w:rPr>
          <w:rFonts w:hint="cs"/>
          <w:rtl/>
        </w:rPr>
        <w:t xml:space="preserve">ה זו </w:t>
      </w:r>
      <w:r>
        <w:rPr>
          <w:rFonts w:hint="cs"/>
          <w:rtl/>
        </w:rPr>
        <w:t xml:space="preserve">על </w:t>
      </w:r>
      <w:r w:rsidR="001819E3">
        <w:rPr>
          <w:rFonts w:hint="cs"/>
          <w:rtl/>
        </w:rPr>
        <w:t>ה</w:t>
      </w:r>
      <w:r w:rsidR="00EF409C">
        <w:rPr>
          <w:rFonts w:hint="cs"/>
          <w:rtl/>
        </w:rPr>
        <w:t xml:space="preserve">עקרונות </w:t>
      </w:r>
      <w:r w:rsidR="001819E3">
        <w:rPr>
          <w:rFonts w:hint="cs"/>
          <w:rtl/>
        </w:rPr>
        <w:t>ה</w:t>
      </w:r>
      <w:r w:rsidR="00EF409C">
        <w:rPr>
          <w:rFonts w:hint="cs"/>
          <w:rtl/>
        </w:rPr>
        <w:t xml:space="preserve">יסודיים של צדק, </w:t>
      </w:r>
      <w:r w:rsidR="00077316">
        <w:rPr>
          <w:rFonts w:hint="cs"/>
          <w:rtl/>
        </w:rPr>
        <w:t xml:space="preserve">ריבונות העם, </w:t>
      </w:r>
      <w:r w:rsidR="00EF409C">
        <w:rPr>
          <w:rFonts w:hint="cs"/>
          <w:rtl/>
        </w:rPr>
        <w:t>מניעת ניגוד עניינים</w:t>
      </w:r>
      <w:r w:rsidR="002B2B15">
        <w:rPr>
          <w:rFonts w:hint="cs"/>
          <w:rtl/>
        </w:rPr>
        <w:t>,</w:t>
      </w:r>
      <w:r w:rsidR="00EF409C">
        <w:rPr>
          <w:rFonts w:hint="cs"/>
          <w:rtl/>
        </w:rPr>
        <w:t xml:space="preserve"> לגיטימציה</w:t>
      </w:r>
      <w:r w:rsidR="006B6E24">
        <w:rPr>
          <w:rFonts w:hint="cs"/>
          <w:rtl/>
        </w:rPr>
        <w:t xml:space="preserve"> ואמון הציבור</w:t>
      </w:r>
      <w:r w:rsidR="001819E3">
        <w:rPr>
          <w:rFonts w:hint="cs"/>
          <w:rtl/>
        </w:rPr>
        <w:t>.</w:t>
      </w:r>
    </w:p>
    <w:p w14:paraId="04DE188E" w14:textId="60DA58FF" w:rsidR="00884B21" w:rsidRDefault="00884B21" w:rsidP="00884B21">
      <w:pPr>
        <w:pStyle w:val="Heading2"/>
        <w:rPr>
          <w:rtl/>
        </w:rPr>
      </w:pPr>
      <w:r>
        <w:rPr>
          <w:rFonts w:hint="cs"/>
          <w:rtl/>
        </w:rPr>
        <w:t>הצהרה על שימוש בבינה מלאכותית</w:t>
      </w:r>
    </w:p>
    <w:p w14:paraId="418BE4FD" w14:textId="297BC254" w:rsidR="00884B21" w:rsidRDefault="00884B21" w:rsidP="00BF4A8E">
      <w:pPr>
        <w:rPr>
          <w:rtl/>
        </w:rPr>
      </w:pPr>
      <w:r>
        <w:rPr>
          <w:rFonts w:hint="cs"/>
          <w:rtl/>
        </w:rPr>
        <w:t xml:space="preserve">נעזרתי ב </w:t>
      </w:r>
      <w:r>
        <w:t>claude.ai</w:t>
      </w:r>
      <w:r>
        <w:rPr>
          <w:rFonts w:hint="cs"/>
          <w:rtl/>
        </w:rPr>
        <w:t xml:space="preserve"> כדי למצוא ולסכם מקורות רלבנטיים</w:t>
      </w:r>
      <w:r w:rsidR="00604AC2">
        <w:rPr>
          <w:rFonts w:hint="cs"/>
          <w:rtl/>
        </w:rPr>
        <w:t>, וכן כדי לקבל ביקורת עניינית על המאמר</w:t>
      </w:r>
      <w:r>
        <w:rPr>
          <w:rFonts w:hint="cs"/>
          <w:rtl/>
        </w:rPr>
        <w:t>. הקפדתי לקרוא את כל המקורות כדי לוודא שהם אכן קיימים ואכן רלבנטיים.</w:t>
      </w:r>
    </w:p>
    <w:p w14:paraId="71336BAA" w14:textId="77777777" w:rsidR="007D0E0E" w:rsidRPr="00B936A8" w:rsidRDefault="007D0E0E" w:rsidP="00B936A8">
      <w:pPr>
        <w:rPr>
          <w:rtl/>
        </w:rPr>
      </w:pPr>
    </w:p>
    <w:sectPr w:rsidR="007D0E0E" w:rsidRPr="00B936A8" w:rsidSect="001343DF">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36AA" w14:textId="77777777" w:rsidR="00641764" w:rsidRDefault="00641764" w:rsidP="00666E63">
      <w:pPr>
        <w:spacing w:after="0" w:line="240" w:lineRule="auto"/>
      </w:pPr>
      <w:r>
        <w:separator/>
      </w:r>
    </w:p>
  </w:endnote>
  <w:endnote w:type="continuationSeparator" w:id="0">
    <w:p w14:paraId="2E48176F" w14:textId="77777777" w:rsidR="00641764" w:rsidRDefault="00641764" w:rsidP="00666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DA35" w14:textId="77777777" w:rsidR="00641764" w:rsidRDefault="00641764" w:rsidP="00666E63">
      <w:pPr>
        <w:spacing w:after="0" w:line="240" w:lineRule="auto"/>
      </w:pPr>
      <w:r>
        <w:separator/>
      </w:r>
    </w:p>
  </w:footnote>
  <w:footnote w:type="continuationSeparator" w:id="0">
    <w:p w14:paraId="426F166D" w14:textId="77777777" w:rsidR="00641764" w:rsidRDefault="00641764" w:rsidP="00666E63">
      <w:pPr>
        <w:spacing w:after="0" w:line="240" w:lineRule="auto"/>
      </w:pPr>
      <w:r>
        <w:continuationSeparator/>
      </w:r>
    </w:p>
  </w:footnote>
  <w:footnote w:id="1">
    <w:p w14:paraId="0E870D21" w14:textId="3FA5166F" w:rsidR="00DC7A23" w:rsidRDefault="00DC7A23">
      <w:pPr>
        <w:pStyle w:val="FootnoteText"/>
      </w:pPr>
      <w:r>
        <w:rPr>
          <w:rStyle w:val="FootnoteReference"/>
          <w:rtl/>
        </w:rPr>
        <w:t>*</w:t>
      </w:r>
      <w:r>
        <w:rPr>
          <w:rtl/>
        </w:rPr>
        <w:t xml:space="preserve"> </w:t>
      </w:r>
      <w:r>
        <w:rPr>
          <w:rFonts w:hint="cs"/>
          <w:rtl/>
        </w:rPr>
        <w:t>פרופסור חבר, בית הספר למדעי המחשב, אוניברסיטת אריאל</w:t>
      </w:r>
    </w:p>
  </w:footnote>
  <w:footnote w:id="2">
    <w:p w14:paraId="159403FE" w14:textId="77777777" w:rsidR="002268AA" w:rsidRDefault="002268AA">
      <w:pPr>
        <w:pStyle w:val="FootnoteText"/>
        <w:rPr>
          <w:rtl/>
        </w:rPr>
      </w:pPr>
      <w:r>
        <w:rPr>
          <w:rStyle w:val="FootnoteReference"/>
        </w:rPr>
        <w:footnoteRef/>
      </w:r>
      <w:r>
        <w:rPr>
          <w:rtl/>
        </w:rPr>
        <w:t xml:space="preserve"> </w:t>
      </w:r>
      <w:r>
        <w:rPr>
          <w:rFonts w:hint="cs"/>
          <w:rtl/>
        </w:rPr>
        <w:t xml:space="preserve">בג"ץ </w:t>
      </w:r>
      <w:r>
        <w:t>5658/23</w:t>
      </w:r>
      <w:r>
        <w:rPr>
          <w:rFonts w:hint="cs"/>
          <w:rtl/>
        </w:rPr>
        <w:t xml:space="preserve">, </w:t>
      </w:r>
      <w:r w:rsidRPr="002268AA">
        <w:rPr>
          <w:rFonts w:hint="cs"/>
          <w:b/>
          <w:bCs/>
          <w:rtl/>
        </w:rPr>
        <w:t>התנועה למען איכות השלטון בישראל נ' הכנסת</w:t>
      </w:r>
      <w:r>
        <w:rPr>
          <w:rFonts w:hint="cs"/>
          <w:rtl/>
        </w:rPr>
        <w:t xml:space="preserve"> (נבו 1.1.2024).</w:t>
      </w:r>
    </w:p>
    <w:p w14:paraId="403333DE" w14:textId="77777777" w:rsidR="003117E3" w:rsidRDefault="003117E3">
      <w:pPr>
        <w:pStyle w:val="FootnoteText"/>
        <w:rPr>
          <w:rtl/>
        </w:rPr>
      </w:pPr>
    </w:p>
  </w:footnote>
  <w:footnote w:id="3">
    <w:p w14:paraId="6A69E1DD" w14:textId="26BA7559" w:rsidR="007D49D8" w:rsidRDefault="007D49D8" w:rsidP="00C3153B">
      <w:pPr>
        <w:pStyle w:val="FootnoteText"/>
        <w:rPr>
          <w:rtl/>
        </w:rPr>
      </w:pPr>
      <w:r>
        <w:rPr>
          <w:rStyle w:val="FootnoteReference"/>
        </w:rPr>
        <w:footnoteRef/>
      </w:r>
      <w:r>
        <w:t xml:space="preserve"> </w:t>
      </w:r>
      <w:r>
        <w:rPr>
          <w:rFonts w:hint="cs"/>
          <w:rtl/>
        </w:rPr>
        <w:t xml:space="preserve"> </w:t>
      </w:r>
      <w:r>
        <w:rPr>
          <w:rFonts w:hint="cs"/>
          <w:rtl/>
        </w:rPr>
        <w:t>כלשונו של פרופ' יובל שני</w:t>
      </w:r>
      <w:r w:rsidR="00C3153B">
        <w:rPr>
          <w:rFonts w:hint="cs"/>
          <w:rtl/>
        </w:rPr>
        <w:t>, "</w:t>
      </w:r>
      <w:r w:rsidR="00C3153B" w:rsidRPr="00C3153B">
        <w:rPr>
          <w:rtl/>
        </w:rPr>
        <w:t>ביטול עילת הסבירות הוא צעד נוסף בהעברת כוח שלטוני בלתי מוגבל לממשלה</w:t>
      </w:r>
      <w:r w:rsidR="00C3153B">
        <w:rPr>
          <w:rFonts w:hint="cs"/>
          <w:rtl/>
        </w:rPr>
        <w:t xml:space="preserve">", מאמר דעה, </w:t>
      </w:r>
      <w:r>
        <w:rPr>
          <w:rFonts w:hint="cs"/>
          <w:rtl/>
        </w:rPr>
        <w:t xml:space="preserve">אתר </w:t>
      </w:r>
      <w:r w:rsidRPr="0023714D">
        <w:rPr>
          <w:rFonts w:hint="cs"/>
          <w:b/>
          <w:bCs/>
          <w:rtl/>
        </w:rPr>
        <w:t>המכון הישראלי לדמוקרטיה</w:t>
      </w:r>
      <w:r w:rsidR="00C3153B">
        <w:rPr>
          <w:rFonts w:hint="cs"/>
          <w:rtl/>
        </w:rPr>
        <w:t xml:space="preserve"> (</w:t>
      </w:r>
      <w:r>
        <w:rPr>
          <w:rFonts w:hint="cs"/>
          <w:rtl/>
        </w:rPr>
        <w:t>30.6.2023</w:t>
      </w:r>
      <w:r w:rsidR="00C3153B">
        <w:rPr>
          <w:rFonts w:hint="cs"/>
          <w:rtl/>
        </w:rPr>
        <w:t xml:space="preserve">), </w:t>
      </w:r>
      <w:hyperlink r:id="rId1" w:history="1">
        <w:r w:rsidRPr="008C10AB">
          <w:rPr>
            <w:rStyle w:val="Hyperlink"/>
          </w:rPr>
          <w:t>https://www.idi.org.il/articles/50046</w:t>
        </w:r>
      </w:hyperlink>
      <w:r w:rsidR="00C3153B">
        <w:rPr>
          <w:rFonts w:hint="cs"/>
          <w:rtl/>
        </w:rPr>
        <w:t>.</w:t>
      </w:r>
    </w:p>
    <w:p w14:paraId="12AA9B0E" w14:textId="77777777" w:rsidR="003117E3" w:rsidRPr="00C3153B" w:rsidRDefault="003117E3" w:rsidP="00C3153B">
      <w:pPr>
        <w:pStyle w:val="FootnoteText"/>
        <w:rPr>
          <w:b/>
          <w:bCs/>
          <w:rtl/>
        </w:rPr>
      </w:pPr>
    </w:p>
  </w:footnote>
  <w:footnote w:id="4">
    <w:p w14:paraId="7B0ADD22" w14:textId="2F479BA5" w:rsidR="00311CC0" w:rsidRDefault="006F589D" w:rsidP="00311CC0">
      <w:pPr>
        <w:pStyle w:val="FootnoteText"/>
        <w:rPr>
          <w:rtl/>
        </w:rPr>
      </w:pPr>
      <w:r>
        <w:rPr>
          <w:rStyle w:val="FootnoteReference"/>
        </w:rPr>
        <w:footnoteRef/>
      </w:r>
      <w:r>
        <w:rPr>
          <w:rtl/>
        </w:rPr>
        <w:t xml:space="preserve"> </w:t>
      </w:r>
      <w:r>
        <w:rPr>
          <w:rFonts w:hint="cs"/>
          <w:rtl/>
        </w:rPr>
        <w:t xml:space="preserve">כלשונו של שמחה רוטמן </w:t>
      </w:r>
      <w:r w:rsidR="00311CC0">
        <w:rPr>
          <w:rFonts w:hint="cs"/>
          <w:rtl/>
        </w:rPr>
        <w:t>במהלך הדיון בבג"ץ</w:t>
      </w:r>
      <w:r w:rsidR="00F25979">
        <w:rPr>
          <w:rFonts w:hint="cs"/>
          <w:rtl/>
        </w:rPr>
        <w:t xml:space="preserve"> בנושא עילת הסבירות. גלעד מורג וגלעד כהן,</w:t>
      </w:r>
      <w:r w:rsidR="00311CC0">
        <w:t xml:space="preserve"> </w:t>
      </w:r>
      <w:r w:rsidR="00311CC0" w:rsidRPr="00311CC0">
        <w:rPr>
          <w:rFonts w:hint="cs"/>
          <w:rtl/>
        </w:rPr>
        <w:t>"</w:t>
      </w:r>
      <w:r w:rsidR="00311CC0" w:rsidRPr="00311CC0">
        <w:rPr>
          <w:rtl/>
        </w:rPr>
        <w:t xml:space="preserve">העימות החזיתי בין רוטמן לשופטי בג"ץ: </w:t>
      </w:r>
      <w:r w:rsidR="00311CC0">
        <w:rPr>
          <w:rFonts w:hint="cs"/>
          <w:rtl/>
        </w:rPr>
        <w:t>'</w:t>
      </w:r>
      <w:r w:rsidR="00311CC0" w:rsidRPr="00311CC0">
        <w:rPr>
          <w:rtl/>
        </w:rPr>
        <w:t>אליטה אוליגרכית ששומרת על עצמ</w:t>
      </w:r>
      <w:r w:rsidR="00311CC0">
        <w:rPr>
          <w:rFonts w:hint="cs"/>
          <w:rtl/>
        </w:rPr>
        <w:t>ה'.",</w:t>
      </w:r>
      <w:r>
        <w:rPr>
          <w:rFonts w:hint="cs"/>
          <w:rtl/>
        </w:rPr>
        <w:t xml:space="preserve"> </w:t>
      </w:r>
      <w:proofErr w:type="spellStart"/>
      <w:r w:rsidRPr="00F0712E">
        <w:rPr>
          <w:b/>
          <w:bCs/>
        </w:rPr>
        <w:t>ynet</w:t>
      </w:r>
      <w:proofErr w:type="spellEnd"/>
      <w:r>
        <w:rPr>
          <w:rFonts w:hint="cs"/>
          <w:rtl/>
        </w:rPr>
        <w:t xml:space="preserve"> </w:t>
      </w:r>
      <w:r w:rsidR="00311CC0">
        <w:rPr>
          <w:rFonts w:hint="cs"/>
          <w:rtl/>
        </w:rPr>
        <w:t>(</w:t>
      </w:r>
      <w:r>
        <w:t>12.9.2023</w:t>
      </w:r>
      <w:r w:rsidR="00311CC0">
        <w:rPr>
          <w:rFonts w:hint="cs"/>
          <w:rtl/>
        </w:rPr>
        <w:t xml:space="preserve">), </w:t>
      </w:r>
      <w:hyperlink r:id="rId2" w:history="1">
        <w:r w:rsidR="00F25979" w:rsidRPr="00D918F7">
          <w:rPr>
            <w:rStyle w:val="Hyperlink"/>
          </w:rPr>
          <w:t>https://www.ynet.co.il/news/article/hjokqa6rn</w:t>
        </w:r>
      </w:hyperlink>
      <w:r w:rsidR="00532CA5">
        <w:rPr>
          <w:rFonts w:hint="cs"/>
          <w:rtl/>
        </w:rPr>
        <w:t>.</w:t>
      </w:r>
    </w:p>
    <w:p w14:paraId="6AD2593C" w14:textId="77777777" w:rsidR="006F589D" w:rsidRDefault="006F589D">
      <w:pPr>
        <w:pStyle w:val="FootnoteText"/>
        <w:rPr>
          <w:rtl/>
        </w:rPr>
      </w:pPr>
      <w:r>
        <w:rPr>
          <w:rFonts w:hint="cs"/>
          <w:rtl/>
        </w:rPr>
        <w:t xml:space="preserve">הבאתי </w:t>
      </w:r>
      <w:r w:rsidR="00311CC0">
        <w:rPr>
          <w:rFonts w:hint="cs"/>
          <w:rtl/>
        </w:rPr>
        <w:t xml:space="preserve">כאן </w:t>
      </w:r>
      <w:r>
        <w:rPr>
          <w:rFonts w:hint="cs"/>
          <w:rtl/>
        </w:rPr>
        <w:t xml:space="preserve">ציטוט אחד </w:t>
      </w:r>
      <w:r w:rsidR="00042480">
        <w:rPr>
          <w:rFonts w:hint="cs"/>
          <w:rtl/>
        </w:rPr>
        <w:t xml:space="preserve">לדוגמה </w:t>
      </w:r>
      <w:r>
        <w:rPr>
          <w:rFonts w:hint="cs"/>
          <w:rtl/>
        </w:rPr>
        <w:t xml:space="preserve">מכל "מחנה", אולם אמירות דומות נשמעו </w:t>
      </w:r>
      <w:r w:rsidR="00642A7D">
        <w:rPr>
          <w:rFonts w:hint="cs"/>
          <w:rtl/>
        </w:rPr>
        <w:t>מפי אנשים רבים ו</w:t>
      </w:r>
      <w:r>
        <w:rPr>
          <w:rFonts w:hint="cs"/>
          <w:rtl/>
        </w:rPr>
        <w:t>שונים בכל אחד מהמחנות.</w:t>
      </w:r>
    </w:p>
    <w:p w14:paraId="38B8BE04" w14:textId="77777777" w:rsidR="00F23E5E" w:rsidRDefault="00F23E5E">
      <w:pPr>
        <w:pStyle w:val="FootnoteText"/>
        <w:rPr>
          <w:rtl/>
        </w:rPr>
      </w:pPr>
    </w:p>
  </w:footnote>
  <w:footnote w:id="5">
    <w:p w14:paraId="22B6449D" w14:textId="225E6331" w:rsidR="006438D1" w:rsidRDefault="006438D1">
      <w:pPr>
        <w:pStyle w:val="FootnoteText"/>
        <w:rPr>
          <w:rtl/>
        </w:rPr>
      </w:pPr>
      <w:r>
        <w:rPr>
          <w:rStyle w:val="FootnoteReference"/>
        </w:rPr>
        <w:footnoteRef/>
      </w:r>
      <w:r>
        <w:rPr>
          <w:rtl/>
        </w:rPr>
        <w:t xml:space="preserve"> </w:t>
      </w:r>
      <w:r>
        <w:rPr>
          <w:rFonts w:hint="cs"/>
          <w:rtl/>
        </w:rPr>
        <w:t>לדיון מעמיק בעילת הסבירות וביטולה, ראו:</w:t>
      </w:r>
      <w:r>
        <w:t xml:space="preserve"> </w:t>
      </w:r>
      <w:r>
        <w:rPr>
          <w:rFonts w:hint="cs"/>
          <w:rtl/>
        </w:rPr>
        <w:t xml:space="preserve">מנחם מאוטנר, "פסק-הדין בעניין הסבירות: שימור הערכים הליברליים ושימור שלטון החוק", </w:t>
      </w:r>
      <w:r w:rsidRPr="006438D1">
        <w:rPr>
          <w:rFonts w:hint="cs"/>
          <w:b/>
          <w:bCs/>
          <w:rtl/>
        </w:rPr>
        <w:t>משפט וממשל</w:t>
      </w:r>
      <w:r>
        <w:rPr>
          <w:rFonts w:hint="cs"/>
          <w:rtl/>
        </w:rPr>
        <w:t xml:space="preserve"> כ"ט</w:t>
      </w:r>
      <w:r w:rsidR="002F7B6D">
        <w:rPr>
          <w:rFonts w:hint="cs"/>
          <w:rtl/>
        </w:rPr>
        <w:t xml:space="preserve"> (</w:t>
      </w:r>
      <w:r>
        <w:rPr>
          <w:rFonts w:hint="cs"/>
          <w:rtl/>
        </w:rPr>
        <w:t>2024</w:t>
      </w:r>
      <w:r w:rsidR="002F7B6D">
        <w:rPr>
          <w:rFonts w:hint="cs"/>
          <w:rtl/>
        </w:rPr>
        <w:t>).</w:t>
      </w:r>
      <w:r w:rsidR="00F23E5E">
        <w:rPr>
          <w:rtl/>
        </w:rPr>
        <w:br/>
      </w:r>
    </w:p>
  </w:footnote>
  <w:footnote w:id="6">
    <w:p w14:paraId="45731194" w14:textId="2BA17778" w:rsidR="00A04C4D" w:rsidRDefault="00A04C4D" w:rsidP="00A04C4D">
      <w:pPr>
        <w:pStyle w:val="FootnoteText"/>
        <w:rPr>
          <w:rtl/>
        </w:rPr>
      </w:pPr>
      <w:r>
        <w:rPr>
          <w:rStyle w:val="FootnoteReference"/>
        </w:rPr>
        <w:footnoteRef/>
      </w:r>
      <w:r>
        <w:rPr>
          <w:rtl/>
        </w:rPr>
        <w:t xml:space="preserve"> </w:t>
      </w:r>
      <w:r w:rsidRPr="00A04C4D">
        <w:rPr>
          <w:rtl/>
        </w:rPr>
        <w:t>המכון לחירות ואחריות</w:t>
      </w:r>
      <w:r w:rsidR="00252C4B">
        <w:rPr>
          <w:rFonts w:hint="cs"/>
          <w:rtl/>
        </w:rPr>
        <w:t>,</w:t>
      </w:r>
      <w:r w:rsidRPr="00A04C4D">
        <w:rPr>
          <w:rtl/>
        </w:rPr>
        <w:t xml:space="preserve"> </w:t>
      </w:r>
      <w:r w:rsidR="0023714D">
        <w:rPr>
          <w:rFonts w:hint="cs"/>
          <w:rtl/>
        </w:rPr>
        <w:t>"</w:t>
      </w:r>
      <w:r w:rsidRPr="0023714D">
        <w:rPr>
          <w:rtl/>
        </w:rPr>
        <w:t>דו"ח אמון הציבור מרץ 2026</w:t>
      </w:r>
      <w:r w:rsidR="0023714D">
        <w:rPr>
          <w:rFonts w:hint="cs"/>
          <w:rtl/>
        </w:rPr>
        <w:t>"</w:t>
      </w:r>
      <w:r w:rsidRPr="00A04C4D">
        <w:rPr>
          <w:rtl/>
        </w:rPr>
        <w:t xml:space="preserve">. </w:t>
      </w:r>
      <w:r w:rsidRPr="00B45A25">
        <w:rPr>
          <w:b/>
          <w:bCs/>
          <w:rtl/>
        </w:rPr>
        <w:t>סקרי המכון לחירות ואחריות</w:t>
      </w:r>
      <w:r w:rsidRPr="00A04C4D">
        <w:rPr>
          <w:rtl/>
        </w:rPr>
        <w:t>, אוניברסיטת רייכמ</w:t>
      </w:r>
      <w:r>
        <w:rPr>
          <w:rFonts w:hint="cs"/>
          <w:rtl/>
        </w:rPr>
        <w:t>ן</w:t>
      </w:r>
      <w:r w:rsidR="00252C4B">
        <w:rPr>
          <w:rFonts w:hint="cs"/>
          <w:rtl/>
        </w:rPr>
        <w:t xml:space="preserve"> (2026)</w:t>
      </w:r>
      <w:r>
        <w:rPr>
          <w:rFonts w:hint="cs"/>
          <w:rtl/>
        </w:rPr>
        <w:t xml:space="preserve">. </w:t>
      </w:r>
      <w:r w:rsidRPr="00A04C4D">
        <w:t>. </w:t>
      </w:r>
      <w:hyperlink r:id="rId3" w:tooltip="https://www.runi.ac.il/research-institutes/government/libres/inst_measures/trust-in-political-institutes/" w:history="1">
        <w:r w:rsidRPr="00A04C4D">
          <w:rPr>
            <w:rStyle w:val="Hyperlink"/>
          </w:rPr>
          <w:t>https://www.runi.ac.il/research-institutes/government/libres/inst_measures/trust-in-political-institutes/</w:t>
        </w:r>
      </w:hyperlink>
      <w:r w:rsidRPr="00A04C4D">
        <w:t> </w:t>
      </w:r>
    </w:p>
  </w:footnote>
  <w:footnote w:id="7">
    <w:p w14:paraId="5A90A893" w14:textId="1B783F34" w:rsidR="00CF1B47" w:rsidRDefault="00CF1B47">
      <w:pPr>
        <w:pStyle w:val="FootnoteText"/>
        <w:rPr>
          <w:rtl/>
        </w:rPr>
      </w:pPr>
      <w:r>
        <w:rPr>
          <w:rStyle w:val="FootnoteReference"/>
        </w:rPr>
        <w:footnoteRef/>
      </w:r>
      <w:r>
        <w:rPr>
          <w:rtl/>
        </w:rPr>
        <w:t xml:space="preserve"> </w:t>
      </w:r>
      <w:r>
        <w:rPr>
          <w:rFonts w:hint="cs"/>
          <w:rtl/>
        </w:rPr>
        <w:t>בבלי, סנהדרין ט, ע"ב.</w:t>
      </w:r>
    </w:p>
    <w:p w14:paraId="68880D2B" w14:textId="77777777" w:rsidR="003117E3" w:rsidRDefault="003117E3">
      <w:pPr>
        <w:pStyle w:val="FootnoteText"/>
        <w:rPr>
          <w:rtl/>
        </w:rPr>
      </w:pPr>
    </w:p>
  </w:footnote>
  <w:footnote w:id="8">
    <w:p w14:paraId="293603AE" w14:textId="44847037" w:rsidR="000D4BCD" w:rsidRDefault="000D4BCD" w:rsidP="000D4BCD">
      <w:pPr>
        <w:pStyle w:val="FootnoteText"/>
        <w:rPr>
          <w:rtl/>
        </w:rPr>
      </w:pPr>
      <w:r>
        <w:rPr>
          <w:rStyle w:val="FootnoteReference"/>
        </w:rPr>
        <w:footnoteRef/>
      </w:r>
      <w:r>
        <w:rPr>
          <w:rtl/>
        </w:rPr>
        <w:t xml:space="preserve"> </w:t>
      </w:r>
      <w:r>
        <w:rPr>
          <w:rFonts w:hint="cs"/>
          <w:rtl/>
        </w:rPr>
        <w:t>לפירוט ומקורות נוספים על חשיבותו של עקרון זה ועל הרחבתו גם לאינטרסים לא חומריים, ראו:</w:t>
      </w:r>
    </w:p>
    <w:p w14:paraId="21455AAE" w14:textId="18B66B10" w:rsidR="000D4BCD" w:rsidRDefault="000D4BCD" w:rsidP="000D4BCD">
      <w:pPr>
        <w:pStyle w:val="FootnoteText"/>
        <w:bidi w:val="0"/>
      </w:pPr>
      <w:r>
        <w:t xml:space="preserve">Mohamed Moussa, "Expanding the Nemo Judex Rule: Reflections on Non-Pecuniary Bias", </w:t>
      </w:r>
      <w:r>
        <w:rPr>
          <w:b/>
          <w:bCs/>
        </w:rPr>
        <w:t>Oxford Journal of Legal Studies</w:t>
      </w:r>
      <w:r>
        <w:t xml:space="preserve"> (2025).</w:t>
      </w:r>
    </w:p>
    <w:p w14:paraId="0A3D0009" w14:textId="77777777" w:rsidR="003117E3" w:rsidRDefault="003117E3" w:rsidP="003117E3">
      <w:pPr>
        <w:pStyle w:val="FootnoteText"/>
        <w:bidi w:val="0"/>
        <w:rPr>
          <w:rtl/>
        </w:rPr>
      </w:pPr>
    </w:p>
  </w:footnote>
  <w:footnote w:id="9">
    <w:p w14:paraId="22BA97EB" w14:textId="20093015" w:rsidR="004259CF" w:rsidRDefault="004259CF" w:rsidP="004259CF">
      <w:pPr>
        <w:pStyle w:val="FootnoteText"/>
        <w:rPr>
          <w:rtl/>
        </w:rPr>
      </w:pPr>
      <w:r>
        <w:rPr>
          <w:rStyle w:val="FootnoteReference"/>
        </w:rPr>
        <w:footnoteRef/>
      </w:r>
      <w:r>
        <w:rPr>
          <w:rtl/>
        </w:rPr>
        <w:t xml:space="preserve"> </w:t>
      </w:r>
      <w:r w:rsidR="00B60815">
        <w:rPr>
          <w:rFonts w:hint="cs"/>
          <w:rtl/>
        </w:rPr>
        <w:t xml:space="preserve">לפירוט </w:t>
      </w:r>
      <w:r>
        <w:rPr>
          <w:rFonts w:hint="cs"/>
          <w:rtl/>
        </w:rPr>
        <w:t xml:space="preserve">ראו: </w:t>
      </w:r>
      <w:r w:rsidRPr="00830FA0">
        <w:rPr>
          <w:rtl/>
        </w:rPr>
        <w:t>דפנה ברק ארז</w:t>
      </w:r>
      <w:r>
        <w:rPr>
          <w:rFonts w:hint="cs"/>
          <w:rtl/>
        </w:rPr>
        <w:t xml:space="preserve">, </w:t>
      </w:r>
      <w:r w:rsidRPr="00830FA0">
        <w:rPr>
          <w:rtl/>
        </w:rPr>
        <w:t>דורון נבות</w:t>
      </w:r>
      <w:r>
        <w:rPr>
          <w:rFonts w:hint="cs"/>
          <w:rtl/>
        </w:rPr>
        <w:t xml:space="preserve">, מרדכי קרמניצר (עורכים), </w:t>
      </w:r>
      <w:r w:rsidRPr="00830FA0">
        <w:rPr>
          <w:b/>
          <w:bCs/>
          <w:rtl/>
        </w:rPr>
        <w:t>ניגוד עניינים במרחב הציבורי</w:t>
      </w:r>
      <w:r>
        <w:rPr>
          <w:rFonts w:hint="cs"/>
          <w:b/>
          <w:bCs/>
          <w:rtl/>
        </w:rPr>
        <w:t>:</w:t>
      </w:r>
      <w:r>
        <w:rPr>
          <w:b/>
          <w:bCs/>
        </w:rPr>
        <w:t xml:space="preserve"> </w:t>
      </w:r>
      <w:r w:rsidRPr="00830FA0">
        <w:rPr>
          <w:b/>
          <w:bCs/>
          <w:rtl/>
        </w:rPr>
        <w:t>משפט, תרבות, אתיקה ופוליטיקה</w:t>
      </w:r>
      <w:r>
        <w:rPr>
          <w:rFonts w:hint="cs"/>
          <w:rtl/>
        </w:rPr>
        <w:t xml:space="preserve"> </w:t>
      </w:r>
      <w:r w:rsidRPr="00830FA0">
        <w:rPr>
          <w:rFonts w:hint="cs"/>
          <w:rtl/>
        </w:rPr>
        <w:t>(</w:t>
      </w:r>
      <w:r>
        <w:rPr>
          <w:rFonts w:hint="cs"/>
          <w:rtl/>
        </w:rPr>
        <w:t>המכון הישראלי לדמוקרטיה, 2009).</w:t>
      </w:r>
    </w:p>
    <w:p w14:paraId="1A18B43B" w14:textId="77777777" w:rsidR="003117E3" w:rsidRDefault="003117E3" w:rsidP="004259CF">
      <w:pPr>
        <w:pStyle w:val="FootnoteText"/>
        <w:rPr>
          <w:rtl/>
        </w:rPr>
      </w:pPr>
    </w:p>
  </w:footnote>
  <w:footnote w:id="10">
    <w:p w14:paraId="39E9185D" w14:textId="594624FC" w:rsidR="00D9232A" w:rsidRDefault="00D9232A">
      <w:pPr>
        <w:pStyle w:val="FootnoteText"/>
      </w:pPr>
      <w:r>
        <w:rPr>
          <w:rStyle w:val="FootnoteReference"/>
        </w:rPr>
        <w:footnoteRef/>
      </w:r>
      <w:r>
        <w:rPr>
          <w:rtl/>
        </w:rPr>
        <w:t xml:space="preserve"> </w:t>
      </w:r>
      <w:r>
        <w:rPr>
          <w:rFonts w:hint="cs"/>
          <w:rtl/>
        </w:rPr>
        <w:t xml:space="preserve">סעיף 77א לחוק בתי המשפט, </w:t>
      </w:r>
      <w:r w:rsidR="004259CF">
        <w:rPr>
          <w:rFonts w:hint="cs"/>
          <w:rtl/>
        </w:rPr>
        <w:t xml:space="preserve">ה'תשמ"ד-1984, </w:t>
      </w:r>
      <w:r>
        <w:rPr>
          <w:rFonts w:hint="cs"/>
          <w:rtl/>
        </w:rPr>
        <w:t xml:space="preserve">ויקיטקסט </w:t>
      </w:r>
      <w:r>
        <w:rPr>
          <w:rtl/>
        </w:rPr>
        <w:t>–</w:t>
      </w:r>
      <w:r>
        <w:rPr>
          <w:rFonts w:hint="cs"/>
          <w:rtl/>
        </w:rPr>
        <w:t xml:space="preserve"> מאגר הטקסטים החופשי</w:t>
      </w:r>
      <w:r w:rsidR="00795E4C">
        <w:rPr>
          <w:rFonts w:hint="cs"/>
          <w:rtl/>
        </w:rPr>
        <w:t>.</w:t>
      </w:r>
      <w:r w:rsidR="003117E3">
        <w:rPr>
          <w:rtl/>
        </w:rPr>
        <w:br/>
      </w:r>
    </w:p>
  </w:footnote>
  <w:footnote w:id="11">
    <w:p w14:paraId="1D243165" w14:textId="47E98B7F" w:rsidR="004259CF" w:rsidRDefault="006725DC" w:rsidP="004259CF">
      <w:pPr>
        <w:pStyle w:val="FootnoteText"/>
        <w:rPr>
          <w:rtl/>
        </w:rPr>
      </w:pPr>
      <w:r>
        <w:t xml:space="preserve"> </w:t>
      </w:r>
      <w:r w:rsidR="004259CF">
        <w:rPr>
          <w:rStyle w:val="FootnoteReference"/>
        </w:rPr>
        <w:footnoteRef/>
      </w:r>
      <w:r>
        <w:rPr>
          <w:rFonts w:hint="cs"/>
          <w:rtl/>
        </w:rPr>
        <w:t xml:space="preserve">לדוגמה, </w:t>
      </w:r>
      <w:r w:rsidR="004259CF" w:rsidRPr="004259CF">
        <w:rPr>
          <w:rFonts w:hint="cs"/>
          <w:rtl/>
        </w:rPr>
        <w:t>בשנת</w:t>
      </w:r>
      <w:r w:rsidR="004259CF" w:rsidRPr="004259CF">
        <w:rPr>
          <w:rtl/>
        </w:rPr>
        <w:t xml:space="preserve"> 2020 </w:t>
      </w:r>
      <w:r w:rsidR="004259CF" w:rsidRPr="004259CF">
        <w:rPr>
          <w:rFonts w:hint="cs"/>
          <w:rtl/>
        </w:rPr>
        <w:t>הורה</w:t>
      </w:r>
      <w:r w:rsidR="004259CF" w:rsidRPr="004259CF">
        <w:rPr>
          <w:rtl/>
        </w:rPr>
        <w:t xml:space="preserve"> </w:t>
      </w:r>
      <w:r w:rsidR="004259CF" w:rsidRPr="004259CF">
        <w:rPr>
          <w:rFonts w:hint="cs"/>
          <w:rtl/>
        </w:rPr>
        <w:t>היועץ</w:t>
      </w:r>
      <w:r w:rsidR="004259CF" w:rsidRPr="004259CF">
        <w:rPr>
          <w:rtl/>
        </w:rPr>
        <w:t xml:space="preserve"> </w:t>
      </w:r>
      <w:r w:rsidR="004259CF" w:rsidRPr="004259CF">
        <w:rPr>
          <w:rFonts w:hint="cs"/>
          <w:rtl/>
        </w:rPr>
        <w:t>המשפטי</w:t>
      </w:r>
      <w:r w:rsidR="004259CF" w:rsidRPr="004259CF">
        <w:rPr>
          <w:rtl/>
        </w:rPr>
        <w:t xml:space="preserve"> </w:t>
      </w:r>
      <w:r w:rsidR="004259CF" w:rsidRPr="004259CF">
        <w:rPr>
          <w:rFonts w:hint="cs"/>
          <w:rtl/>
        </w:rPr>
        <w:t>לממשלה</w:t>
      </w:r>
      <w:r w:rsidR="004259CF" w:rsidRPr="004259CF">
        <w:rPr>
          <w:rtl/>
        </w:rPr>
        <w:t xml:space="preserve"> </w:t>
      </w:r>
      <w:r w:rsidR="004259CF" w:rsidRPr="004259CF">
        <w:rPr>
          <w:rFonts w:hint="cs"/>
          <w:rtl/>
        </w:rPr>
        <w:t>דאז</w:t>
      </w:r>
      <w:r w:rsidR="004259CF" w:rsidRPr="004259CF">
        <w:rPr>
          <w:rtl/>
        </w:rPr>
        <w:t xml:space="preserve">, </w:t>
      </w:r>
      <w:r w:rsidR="004259CF" w:rsidRPr="004259CF">
        <w:rPr>
          <w:rFonts w:hint="cs"/>
          <w:rtl/>
        </w:rPr>
        <w:t>אביחי</w:t>
      </w:r>
      <w:r w:rsidR="004259CF" w:rsidRPr="004259CF">
        <w:rPr>
          <w:rtl/>
        </w:rPr>
        <w:t xml:space="preserve"> </w:t>
      </w:r>
      <w:r w:rsidR="004259CF" w:rsidRPr="004259CF">
        <w:rPr>
          <w:rFonts w:hint="cs"/>
          <w:rtl/>
        </w:rPr>
        <w:t>מנדלבליט</w:t>
      </w:r>
      <w:r w:rsidR="004259CF" w:rsidRPr="004259CF">
        <w:rPr>
          <w:rtl/>
        </w:rPr>
        <w:t xml:space="preserve">, </w:t>
      </w:r>
      <w:r w:rsidR="004259CF" w:rsidRPr="004259CF">
        <w:rPr>
          <w:rFonts w:hint="cs"/>
          <w:rtl/>
        </w:rPr>
        <w:t>לראש</w:t>
      </w:r>
      <w:r w:rsidR="004259CF" w:rsidRPr="004259CF">
        <w:rPr>
          <w:rtl/>
        </w:rPr>
        <w:t xml:space="preserve"> </w:t>
      </w:r>
      <w:r w:rsidR="004259CF" w:rsidRPr="004259CF">
        <w:rPr>
          <w:rFonts w:hint="cs"/>
          <w:rtl/>
        </w:rPr>
        <w:t>הממשלה</w:t>
      </w:r>
      <w:r w:rsidR="004259CF" w:rsidRPr="004259CF">
        <w:rPr>
          <w:rtl/>
        </w:rPr>
        <w:t xml:space="preserve"> </w:t>
      </w:r>
      <w:r w:rsidR="004259CF" w:rsidRPr="004259CF">
        <w:rPr>
          <w:rFonts w:hint="cs"/>
          <w:rtl/>
        </w:rPr>
        <w:t>בנימין</w:t>
      </w:r>
      <w:r w:rsidR="004259CF" w:rsidRPr="004259CF">
        <w:rPr>
          <w:rtl/>
        </w:rPr>
        <w:t xml:space="preserve"> </w:t>
      </w:r>
      <w:r w:rsidR="004259CF" w:rsidRPr="004259CF">
        <w:rPr>
          <w:rFonts w:hint="cs"/>
          <w:rtl/>
        </w:rPr>
        <w:t>נתניהו</w:t>
      </w:r>
      <w:r w:rsidR="004259CF" w:rsidRPr="004259CF">
        <w:rPr>
          <w:rtl/>
        </w:rPr>
        <w:t xml:space="preserve">, </w:t>
      </w:r>
      <w:r w:rsidR="004259CF" w:rsidRPr="004259CF">
        <w:rPr>
          <w:rFonts w:hint="cs"/>
          <w:rtl/>
        </w:rPr>
        <w:t>כי</w:t>
      </w:r>
      <w:r w:rsidR="004259CF" w:rsidRPr="004259CF">
        <w:rPr>
          <w:rtl/>
        </w:rPr>
        <w:t xml:space="preserve"> "</w:t>
      </w:r>
      <w:r w:rsidR="004259CF" w:rsidRPr="009D74B7">
        <w:rPr>
          <w:rFonts w:hint="cs"/>
          <w:i/>
          <w:iCs/>
          <w:rtl/>
        </w:rPr>
        <w:t>עליך</w:t>
      </w:r>
      <w:r w:rsidR="004259CF" w:rsidRPr="009D74B7">
        <w:rPr>
          <w:i/>
          <w:iCs/>
          <w:rtl/>
        </w:rPr>
        <w:t xml:space="preserve"> </w:t>
      </w:r>
      <w:r w:rsidR="004259CF" w:rsidRPr="009D74B7">
        <w:rPr>
          <w:rFonts w:hint="cs"/>
          <w:i/>
          <w:iCs/>
          <w:rtl/>
        </w:rPr>
        <w:t>להימנע</w:t>
      </w:r>
      <w:r w:rsidR="004259CF" w:rsidRPr="009D74B7">
        <w:rPr>
          <w:i/>
          <w:iCs/>
          <w:rtl/>
        </w:rPr>
        <w:t xml:space="preserve"> </w:t>
      </w:r>
      <w:r w:rsidR="004259CF" w:rsidRPr="009D74B7">
        <w:rPr>
          <w:rFonts w:hint="cs"/>
          <w:i/>
          <w:iCs/>
          <w:rtl/>
        </w:rPr>
        <w:t>מלטפל</w:t>
      </w:r>
      <w:r w:rsidR="004259CF" w:rsidRPr="009D74B7">
        <w:rPr>
          <w:i/>
          <w:iCs/>
          <w:rtl/>
        </w:rPr>
        <w:t xml:space="preserve"> </w:t>
      </w:r>
      <w:r w:rsidR="004259CF" w:rsidRPr="009D74B7">
        <w:rPr>
          <w:rFonts w:hint="cs"/>
          <w:i/>
          <w:iCs/>
          <w:rtl/>
        </w:rPr>
        <w:t>בכל</w:t>
      </w:r>
      <w:r w:rsidR="004259CF" w:rsidRPr="009D74B7">
        <w:rPr>
          <w:i/>
          <w:iCs/>
          <w:rtl/>
        </w:rPr>
        <w:t xml:space="preserve"> </w:t>
      </w:r>
      <w:r w:rsidR="004259CF" w:rsidRPr="009D74B7">
        <w:rPr>
          <w:rFonts w:hint="cs"/>
          <w:i/>
          <w:iCs/>
          <w:rtl/>
        </w:rPr>
        <w:t>עניין</w:t>
      </w:r>
      <w:r w:rsidR="004259CF" w:rsidRPr="009D74B7">
        <w:rPr>
          <w:i/>
          <w:iCs/>
          <w:rtl/>
        </w:rPr>
        <w:t xml:space="preserve"> </w:t>
      </w:r>
      <w:r w:rsidR="004259CF" w:rsidRPr="009D74B7">
        <w:rPr>
          <w:rFonts w:hint="cs"/>
          <w:i/>
          <w:iCs/>
          <w:rtl/>
        </w:rPr>
        <w:t>הנוגע</w:t>
      </w:r>
      <w:r w:rsidR="004259CF" w:rsidRPr="009D74B7">
        <w:rPr>
          <w:i/>
          <w:iCs/>
          <w:rtl/>
        </w:rPr>
        <w:t xml:space="preserve"> </w:t>
      </w:r>
      <w:r w:rsidR="004259CF" w:rsidRPr="009D74B7">
        <w:rPr>
          <w:rFonts w:hint="cs"/>
          <w:i/>
          <w:iCs/>
          <w:rtl/>
        </w:rPr>
        <w:t>למינויי בכירים במשטרה ובמשרד המשפטים... להימנע מכל מעורבות בעניינים הנוגעים לפעילות הוועדה לבחירת שופטים... מדובר בחוות דעת הנוגעת רק בהיבטי ניגוד העניינים הנוגעים לכתב האישום שהוגש בעניינו של מר נתניהו. לצד חוות דעת זו יגובש הסדר ניגוד עניינים כללי, על בסיס שאלון ניגוד העניינים המועבר אל כלל חברי הממשלה, כמקובל</w:t>
      </w:r>
      <w:r w:rsidR="004259CF">
        <w:rPr>
          <w:rFonts w:hint="cs"/>
          <w:rtl/>
        </w:rPr>
        <w:t xml:space="preserve">". מתוך: תמר אלמוג, </w:t>
      </w:r>
      <w:r w:rsidR="004259CF" w:rsidRPr="004259CF">
        <w:rPr>
          <w:rFonts w:hint="cs"/>
          <w:rtl/>
        </w:rPr>
        <w:t>"</w:t>
      </w:r>
      <w:r w:rsidR="004259CF" w:rsidRPr="004259CF">
        <w:rPr>
          <w:rtl/>
        </w:rPr>
        <w:t xml:space="preserve"> היועמ"ש העביר את הסדר ניגוד העניינים החדש של רה"מ</w:t>
      </w:r>
      <w:r w:rsidR="004259CF" w:rsidRPr="004259CF">
        <w:rPr>
          <w:rFonts w:hint="cs"/>
          <w:rtl/>
        </w:rPr>
        <w:t>"</w:t>
      </w:r>
      <w:r w:rsidR="004259CF">
        <w:rPr>
          <w:rFonts w:hint="cs"/>
          <w:rtl/>
        </w:rPr>
        <w:t xml:space="preserve">, </w:t>
      </w:r>
      <w:r w:rsidR="004259CF" w:rsidRPr="004259CF">
        <w:rPr>
          <w:rFonts w:hint="cs"/>
          <w:b/>
          <w:bCs/>
          <w:rtl/>
        </w:rPr>
        <w:t>אתר כאן חדשות</w:t>
      </w:r>
      <w:r w:rsidR="004259CF">
        <w:rPr>
          <w:rFonts w:hint="cs"/>
          <w:rtl/>
        </w:rPr>
        <w:t xml:space="preserve"> (2.11.2020) </w:t>
      </w:r>
      <w:hyperlink r:id="rId4" w:history="1">
        <w:r w:rsidR="004259CF" w:rsidRPr="005D25F5">
          <w:rPr>
            <w:rStyle w:val="Hyperlink"/>
          </w:rPr>
          <w:t>https://www.kan.org.il/content/kan-news/law/287776</w:t>
        </w:r>
      </w:hyperlink>
      <w:r w:rsidR="004259CF">
        <w:t xml:space="preserve"> </w:t>
      </w:r>
      <w:r w:rsidR="003117E3">
        <w:rPr>
          <w:rtl/>
        </w:rPr>
        <w:br/>
      </w:r>
    </w:p>
  </w:footnote>
  <w:footnote w:id="12">
    <w:p w14:paraId="03A0A1A2" w14:textId="26B3F565" w:rsidR="00957295" w:rsidRDefault="00957295">
      <w:pPr>
        <w:pStyle w:val="FootnoteText"/>
        <w:rPr>
          <w:rtl/>
        </w:rPr>
      </w:pPr>
      <w:r>
        <w:rPr>
          <w:rStyle w:val="FootnoteReference"/>
        </w:rPr>
        <w:footnoteRef/>
      </w:r>
      <w:r>
        <w:rPr>
          <w:rtl/>
        </w:rPr>
        <w:t xml:space="preserve"> </w:t>
      </w:r>
      <w:r>
        <w:rPr>
          <w:rFonts w:hint="cs"/>
          <w:rtl/>
        </w:rPr>
        <w:t xml:space="preserve">ראו למשל: "תאוריית הצרכים", </w:t>
      </w:r>
      <w:r w:rsidR="00283D32" w:rsidRPr="006565D3">
        <w:rPr>
          <w:rFonts w:hint="cs"/>
          <w:b/>
          <w:bCs/>
          <w:rtl/>
        </w:rPr>
        <w:t>ויקיפדיה</w:t>
      </w:r>
      <w:r w:rsidR="00283D32">
        <w:rPr>
          <w:rFonts w:hint="cs"/>
          <w:rtl/>
        </w:rPr>
        <w:t xml:space="preserve"> </w:t>
      </w:r>
      <w:r w:rsidR="00283D32" w:rsidRPr="008E1C25">
        <w:rPr>
          <w:rFonts w:hint="cs"/>
          <w:b/>
          <w:bCs/>
          <w:rtl/>
        </w:rPr>
        <w:t>בעברית</w:t>
      </w:r>
      <w:r w:rsidR="00283D32">
        <w:rPr>
          <w:rFonts w:hint="cs"/>
          <w:rtl/>
        </w:rPr>
        <w:t xml:space="preserve"> </w:t>
      </w:r>
      <w:r>
        <w:rPr>
          <w:rFonts w:hint="cs"/>
          <w:rtl/>
        </w:rPr>
        <w:t xml:space="preserve">(עדכון אחרון </w:t>
      </w:r>
      <w:r w:rsidR="00B2706A">
        <w:rPr>
          <w:rFonts w:hint="cs"/>
          <w:rtl/>
        </w:rPr>
        <w:t>28.</w:t>
      </w:r>
      <w:r w:rsidR="00B05C91">
        <w:rPr>
          <w:rFonts w:hint="cs"/>
          <w:rtl/>
        </w:rPr>
        <w:t>7</w:t>
      </w:r>
      <w:r w:rsidR="00B2706A">
        <w:rPr>
          <w:rFonts w:hint="cs"/>
          <w:rtl/>
        </w:rPr>
        <w:t>.2025</w:t>
      </w:r>
      <w:r w:rsidR="00DA4241">
        <w:rPr>
          <w:rFonts w:hint="cs"/>
          <w:rtl/>
        </w:rPr>
        <w:t>).</w:t>
      </w:r>
    </w:p>
  </w:footnote>
  <w:footnote w:id="13">
    <w:p w14:paraId="7C2E96FA" w14:textId="6599695E" w:rsidR="00BF6797" w:rsidRDefault="00BF6797" w:rsidP="00BF6797">
      <w:pPr>
        <w:pStyle w:val="FootnoteText"/>
        <w:rPr>
          <w:rtl/>
        </w:rPr>
      </w:pPr>
      <w:r>
        <w:rPr>
          <w:rStyle w:val="FootnoteReference"/>
        </w:rPr>
        <w:footnoteRef/>
      </w:r>
      <w:r>
        <w:rPr>
          <w:rtl/>
        </w:rPr>
        <w:t xml:space="preserve"> </w:t>
      </w:r>
      <w:r>
        <w:rPr>
          <w:rFonts w:hint="cs"/>
          <w:rtl/>
        </w:rPr>
        <w:t xml:space="preserve">הוועדה למניעת ניגוד עניינים של נבחרי ציבור ברשויות המקומיות. "עקרונות כלליים בדיני ניגוד עניינים". </w:t>
      </w:r>
      <w:r w:rsidRPr="009065C3">
        <w:rPr>
          <w:rFonts w:hint="cs"/>
          <w:b/>
          <w:bCs/>
          <w:rtl/>
        </w:rPr>
        <w:t>אתר משרד המשפטים</w:t>
      </w:r>
      <w:r>
        <w:rPr>
          <w:rFonts w:hint="cs"/>
          <w:b/>
          <w:bCs/>
          <w:rtl/>
        </w:rPr>
        <w:t xml:space="preserve"> </w:t>
      </w:r>
      <w:r w:rsidRPr="009065C3">
        <w:rPr>
          <w:rFonts w:hint="cs"/>
          <w:rtl/>
        </w:rPr>
        <w:t>(</w:t>
      </w:r>
      <w:r>
        <w:rPr>
          <w:rFonts w:hint="cs"/>
          <w:rtl/>
        </w:rPr>
        <w:t>2007</w:t>
      </w:r>
      <w:r>
        <w:rPr>
          <w:rFonts w:hint="eastAsia"/>
          <w:rtl/>
        </w:rPr>
        <w:t>–</w:t>
      </w:r>
      <w:r>
        <w:rPr>
          <w:rFonts w:hint="cs"/>
          <w:rtl/>
        </w:rPr>
        <w:t>2014</w:t>
      </w:r>
      <w:r w:rsidRPr="009065C3">
        <w:rPr>
          <w:rFonts w:hint="cs"/>
          <w:rtl/>
        </w:rPr>
        <w:t>)</w:t>
      </w:r>
      <w:r>
        <w:rPr>
          <w:rFonts w:hint="cs"/>
          <w:rtl/>
        </w:rPr>
        <w:t xml:space="preserve">. </w:t>
      </w:r>
      <w:r>
        <w:fldChar w:fldCharType="begin"/>
      </w:r>
      <w:r>
        <w:instrText>HYPERLINK "https://www.gov.il/he/pages/conflict_of_interest_committee-2"</w:instrText>
      </w:r>
      <w:r>
        <w:fldChar w:fldCharType="separate"/>
      </w:r>
      <w:r w:rsidRPr="00944F35">
        <w:rPr>
          <w:rStyle w:val="Hyperlink"/>
        </w:rPr>
        <w:t>https://www.gov.il/he/pages/conflict_of_interest_committee-2</w:t>
      </w:r>
      <w:r>
        <w:fldChar w:fldCharType="end"/>
      </w:r>
      <w:r>
        <w:rPr>
          <w:rFonts w:hint="cs"/>
          <w:rtl/>
        </w:rPr>
        <w:t xml:space="preserve"> </w:t>
      </w:r>
    </w:p>
    <w:p w14:paraId="2262E969" w14:textId="77777777" w:rsidR="00BF6797" w:rsidRDefault="00BF6797" w:rsidP="00BF6797">
      <w:pPr>
        <w:pStyle w:val="FootnoteText"/>
        <w:rPr>
          <w:rtl/>
        </w:rPr>
      </w:pPr>
    </w:p>
  </w:footnote>
  <w:footnote w:id="14">
    <w:p w14:paraId="529F1D8F" w14:textId="6C89227B" w:rsidR="00B135AF" w:rsidRDefault="00000000">
      <w:pPr>
        <w:pStyle w:val="FootnoteText"/>
        <w:rPr>
          <w:rtl/>
        </w:rPr>
      </w:pPr>
      <w:r>
        <w:rPr>
          <w:rStyle w:val="FootnoteReference"/>
        </w:rPr>
        <w:footnoteRef/>
      </w:r>
      <w:r>
        <w:rPr>
          <w:rtl/>
        </w:rPr>
        <w:t xml:space="preserve"> </w:t>
      </w:r>
      <w:r>
        <w:t xml:space="preserve">Adrian Vermeule, "Contra Nemo Iudex in Sua Causa: The Limits of Impartiality", 122 </w:t>
      </w:r>
      <w:r>
        <w:rPr>
          <w:b/>
          <w:bCs/>
        </w:rPr>
        <w:t>Yale Law Journal</w:t>
      </w:r>
      <w:r>
        <w:t xml:space="preserve"> 384 (2012)</w:t>
      </w:r>
      <w:r w:rsidR="00120F93">
        <w:t>, 386.</w:t>
      </w:r>
    </w:p>
    <w:p w14:paraId="2AB08C19" w14:textId="77777777" w:rsidR="00F6215F" w:rsidRDefault="00F6215F">
      <w:pPr>
        <w:pStyle w:val="FootnoteText"/>
        <w:rPr>
          <w:rtl/>
        </w:rPr>
      </w:pPr>
    </w:p>
  </w:footnote>
  <w:footnote w:id="15">
    <w:p w14:paraId="001FB98C" w14:textId="28F9D16C" w:rsidR="00106C5C" w:rsidRDefault="00106C5C" w:rsidP="00106C5C">
      <w:pPr>
        <w:pStyle w:val="FootnoteText"/>
        <w:rPr>
          <w:rtl/>
        </w:rPr>
      </w:pPr>
      <w:r>
        <w:rPr>
          <w:rStyle w:val="FootnoteReference"/>
        </w:rPr>
        <w:footnoteRef/>
      </w:r>
      <w:r>
        <w:rPr>
          <w:rtl/>
        </w:rPr>
        <w:t xml:space="preserve"> </w:t>
      </w:r>
      <w:r>
        <w:rPr>
          <w:rFonts w:hint="cs"/>
          <w:rtl/>
        </w:rPr>
        <w:t>בארה"ב, המניפולציות שמבצעים מושלים על חלוקת המחוזות הן כל-כך נפוצות, שהומצא עבורן שם מיוחד:</w:t>
      </w:r>
      <w:r>
        <w:t xml:space="preserve"> </w:t>
      </w:r>
      <w:r w:rsidR="000C2358">
        <w:rPr>
          <w:rFonts w:hint="cs"/>
          <w:rtl/>
        </w:rPr>
        <w:t>"</w:t>
      </w:r>
      <w:r w:rsidRPr="000C2358">
        <w:t>Gerrymandering</w:t>
      </w:r>
      <w:r w:rsidR="000C2358">
        <w:rPr>
          <w:rFonts w:hint="cs"/>
          <w:b/>
          <w:bCs/>
          <w:rtl/>
        </w:rPr>
        <w:t>"</w:t>
      </w:r>
      <w:r>
        <w:rPr>
          <w:rFonts w:hint="cs"/>
          <w:b/>
          <w:bCs/>
          <w:rtl/>
        </w:rPr>
        <w:t>.</w:t>
      </w:r>
      <w:r>
        <w:rPr>
          <w:rFonts w:hint="cs"/>
          <w:rtl/>
        </w:rPr>
        <w:t xml:space="preserve"> לדיון מפורט בנושא, ראו ערך זה בוויקיפדיה האנגלית</w:t>
      </w:r>
      <w:r w:rsidR="002F5E6F">
        <w:rPr>
          <w:rFonts w:hint="cs"/>
          <w:rtl/>
        </w:rPr>
        <w:t xml:space="preserve"> (עדכון אחרון 18.4.2026)</w:t>
      </w:r>
      <w:r>
        <w:rPr>
          <w:rFonts w:hint="cs"/>
          <w:rtl/>
        </w:rPr>
        <w:t>.</w:t>
      </w:r>
    </w:p>
    <w:p w14:paraId="7C76865D" w14:textId="77777777" w:rsidR="00312A53" w:rsidRPr="00AF6557" w:rsidRDefault="00312A53" w:rsidP="00106C5C">
      <w:pPr>
        <w:pStyle w:val="FootnoteText"/>
      </w:pPr>
    </w:p>
  </w:footnote>
  <w:footnote w:id="16">
    <w:p w14:paraId="4410E4B8" w14:textId="25E0571E" w:rsidR="005472E2" w:rsidRDefault="005472E2" w:rsidP="00F52D07">
      <w:pPr>
        <w:pStyle w:val="FootnoteText"/>
        <w:rPr>
          <w:rtl/>
        </w:rPr>
      </w:pPr>
      <w:r>
        <w:rPr>
          <w:rStyle w:val="FootnoteReference"/>
        </w:rPr>
        <w:footnoteRef/>
      </w:r>
      <w:r>
        <w:rPr>
          <w:rtl/>
        </w:rPr>
        <w:t xml:space="preserve"> </w:t>
      </w:r>
      <w:r w:rsidR="00F52D07">
        <w:t>Jeremy Waldron, "Judicial Review and Judicial Supremacy", NYU School of Law Public Law Research Paper No. 14-57 (2014).</w:t>
      </w:r>
    </w:p>
    <w:p w14:paraId="260E54B2" w14:textId="77777777" w:rsidR="00312A53" w:rsidRPr="00F52D07" w:rsidRDefault="00312A53" w:rsidP="00F52D07">
      <w:pPr>
        <w:pStyle w:val="FootnoteText"/>
        <w:rPr>
          <w:rtl/>
        </w:rPr>
      </w:pPr>
    </w:p>
  </w:footnote>
  <w:footnote w:id="17">
    <w:p w14:paraId="25D50B54" w14:textId="77777777" w:rsidR="00B135AF" w:rsidRDefault="00000000" w:rsidP="003C5362">
      <w:pPr>
        <w:pStyle w:val="FootnoteText"/>
        <w:bidi w:val="0"/>
      </w:pPr>
      <w:r>
        <w:rPr>
          <w:rStyle w:val="FootnoteReference"/>
        </w:rPr>
        <w:footnoteRef/>
      </w:r>
      <w:r>
        <w:rPr>
          <w:rtl/>
        </w:rPr>
        <w:t xml:space="preserve"> </w:t>
      </w:r>
      <w:r>
        <w:t>Jeremy Waldron, "The Crisis of Judicial Review", NYU School of Law Public Law Research Paper No. 24-30 (2024).</w:t>
      </w:r>
    </w:p>
    <w:p w14:paraId="153A47CA" w14:textId="77777777" w:rsidR="003C5362" w:rsidRDefault="003C5362" w:rsidP="003C5362">
      <w:pPr>
        <w:pStyle w:val="FootnoteText"/>
        <w:bidi w:val="0"/>
        <w:rPr>
          <w:rtl/>
        </w:rPr>
      </w:pPr>
    </w:p>
  </w:footnote>
  <w:footnote w:id="18">
    <w:p w14:paraId="6D3F15EF" w14:textId="532E96EB" w:rsidR="000B1C5C" w:rsidRDefault="000B1C5C" w:rsidP="000B1C5C">
      <w:pPr>
        <w:pStyle w:val="FootnoteText"/>
        <w:bidi w:val="0"/>
        <w:rPr>
          <w:rtl/>
        </w:rPr>
      </w:pPr>
      <w:r>
        <w:rPr>
          <w:rStyle w:val="FootnoteReference"/>
        </w:rPr>
        <w:footnoteRef/>
      </w:r>
      <w:r>
        <w:rPr>
          <w:rtl/>
        </w:rPr>
        <w:t xml:space="preserve"> </w:t>
      </w:r>
      <w:r w:rsidRPr="000F0419">
        <w:t>Markus Böckenförde</w:t>
      </w:r>
      <w:r>
        <w:t>, "</w:t>
      </w:r>
      <w:r w:rsidRPr="000F0419">
        <w:t xml:space="preserve"> </w:t>
      </w:r>
      <w:r>
        <w:t xml:space="preserve">Constitution-building Primer 10: Constitutional Amendment Procedures". </w:t>
      </w:r>
      <w:r w:rsidRPr="000F0419">
        <w:rPr>
          <w:b/>
          <w:bCs/>
        </w:rPr>
        <w:t>International Institute for Democracy and Electoral Assistance (IDEA)</w:t>
      </w:r>
      <w:r w:rsidRPr="000F0419">
        <w:t xml:space="preserve"> </w:t>
      </w:r>
      <w:r>
        <w:t>(</w:t>
      </w:r>
      <w:r w:rsidRPr="000F0419">
        <w:t>2014</w:t>
      </w:r>
      <w:r>
        <w:t>)</w:t>
      </w:r>
      <w:r w:rsidR="00E91468">
        <w:t>,</w:t>
      </w:r>
      <w:r w:rsidRPr="000F0419">
        <w:t xml:space="preserve"> </w:t>
      </w:r>
      <w:hyperlink r:id="rId5" w:history="1">
        <w:r w:rsidRPr="00E56CDD">
          <w:rPr>
            <w:rStyle w:val="Hyperlink"/>
          </w:rPr>
          <w:t>https://www.idea.int/publications/catalogue/constitutional-amendment-procedures</w:t>
        </w:r>
      </w:hyperlink>
      <w:r>
        <w:t xml:space="preserve"> </w:t>
      </w:r>
    </w:p>
    <w:p w14:paraId="2839678A" w14:textId="77777777" w:rsidR="000B1C5C" w:rsidRDefault="000B1C5C" w:rsidP="000B1C5C">
      <w:pPr>
        <w:pStyle w:val="FootnoteText"/>
        <w:rPr>
          <w:rtl/>
        </w:rPr>
      </w:pPr>
    </w:p>
  </w:footnote>
  <w:footnote w:id="19">
    <w:p w14:paraId="18955D91" w14:textId="77777777" w:rsidR="007D0BB7" w:rsidRDefault="007D0BB7" w:rsidP="007D0BB7">
      <w:pPr>
        <w:pStyle w:val="FootnoteText"/>
        <w:bidi w:val="0"/>
      </w:pPr>
      <w:r>
        <w:rPr>
          <w:rStyle w:val="FootnoteReference"/>
        </w:rPr>
        <w:footnoteRef/>
      </w:r>
      <w:r>
        <w:rPr>
          <w:rtl/>
        </w:rPr>
        <w:t xml:space="preserve"> </w:t>
      </w:r>
      <w:r w:rsidRPr="003C5362">
        <w:t>Arthur Lupia and John G. Matsusaka</w:t>
      </w:r>
      <w:r>
        <w:t>,</w:t>
      </w:r>
      <w:r w:rsidRPr="003C5362">
        <w:t xml:space="preserve"> "Direct democracy: New approaches to old questions." </w:t>
      </w:r>
      <w:r w:rsidRPr="007471D1">
        <w:rPr>
          <w:b/>
          <w:bCs/>
        </w:rPr>
        <w:t>Annual Review of Political Science</w:t>
      </w:r>
      <w:r w:rsidRPr="007471D1">
        <w:t xml:space="preserve"> 7.1</w:t>
      </w:r>
      <w:r w:rsidRPr="003C5362">
        <w:t xml:space="preserve"> (2004): 463-482.</w:t>
      </w:r>
      <w:r w:rsidRPr="003C5362">
        <w:rPr>
          <w:rtl/>
        </w:rPr>
        <w:t>‏</w:t>
      </w:r>
    </w:p>
    <w:p w14:paraId="35333175" w14:textId="77777777" w:rsidR="007D0BB7" w:rsidRDefault="007D0BB7" w:rsidP="007D0BB7">
      <w:pPr>
        <w:pStyle w:val="FootnoteText"/>
        <w:bidi w:val="0"/>
      </w:pPr>
    </w:p>
  </w:footnote>
  <w:footnote w:id="20">
    <w:p w14:paraId="71ECD075" w14:textId="3B2F4A21" w:rsidR="00770777" w:rsidRDefault="00770777" w:rsidP="00757662">
      <w:pPr>
        <w:pStyle w:val="FootnoteText"/>
        <w:bidi w:val="0"/>
      </w:pPr>
      <w:r>
        <w:rPr>
          <w:rStyle w:val="FootnoteReference"/>
        </w:rPr>
        <w:footnoteRef/>
      </w:r>
      <w:r>
        <w:t xml:space="preserve"> </w:t>
      </w:r>
      <w:r w:rsidR="002F735D" w:rsidRPr="00757662">
        <w:t>Elliot W. Bulmer</w:t>
      </w:r>
      <w:r w:rsidR="002F735D">
        <w:t>, "</w:t>
      </w:r>
      <w:r w:rsidR="002F735D" w:rsidRPr="000F0419">
        <w:t xml:space="preserve"> </w:t>
      </w:r>
      <w:r w:rsidR="002F735D">
        <w:t xml:space="preserve">Constitution-building Primer 3: Direct Democracy". </w:t>
      </w:r>
      <w:r w:rsidR="002F735D" w:rsidRPr="000F0419">
        <w:rPr>
          <w:b/>
          <w:bCs/>
        </w:rPr>
        <w:t>International Institute for Democracy and Electoral Assistance (IDEA)</w:t>
      </w:r>
      <w:r w:rsidR="002F735D" w:rsidRPr="000F0419">
        <w:t xml:space="preserve"> </w:t>
      </w:r>
      <w:r w:rsidR="002F735D">
        <w:t>(2017),</w:t>
      </w:r>
      <w:r w:rsidR="002F735D" w:rsidRPr="000F0419">
        <w:t xml:space="preserve"> </w:t>
      </w:r>
      <w:hyperlink r:id="rId6" w:history="1">
        <w:r w:rsidR="002F735D" w:rsidRPr="003202FE">
          <w:rPr>
            <w:rStyle w:val="Hyperlink"/>
          </w:rPr>
          <w:t>https://www.idea.int/publications/catalogue/direct-democracy</w:t>
        </w:r>
      </w:hyperlink>
      <w:r w:rsidR="002F735D">
        <w:t>:</w:t>
      </w:r>
      <w:r w:rsidR="002F735D">
        <w:br/>
      </w:r>
      <w:r>
        <w:t>"</w:t>
      </w:r>
      <w:r w:rsidRPr="00770777">
        <w:rPr>
          <w:i/>
          <w:iCs/>
        </w:rPr>
        <w:t xml:space="preserve">Institutes of direct democracy are found in </w:t>
      </w:r>
      <w:proofErr w:type="gramStart"/>
      <w:r w:rsidRPr="00770777">
        <w:rPr>
          <w:i/>
          <w:iCs/>
        </w:rPr>
        <w:t>a majority of</w:t>
      </w:r>
      <w:proofErr w:type="gramEnd"/>
      <w:r w:rsidRPr="00770777">
        <w:rPr>
          <w:i/>
          <w:iCs/>
        </w:rPr>
        <w:t xml:space="preserve"> the world's constitutions. Referendums</w:t>
      </w:r>
      <w:proofErr w:type="gramStart"/>
      <w:r w:rsidRPr="00770777">
        <w:rPr>
          <w:i/>
          <w:iCs/>
        </w:rPr>
        <w:t>, in particular, have</w:t>
      </w:r>
      <w:proofErr w:type="gramEnd"/>
      <w:r w:rsidRPr="00770777">
        <w:rPr>
          <w:i/>
          <w:iCs/>
        </w:rPr>
        <w:t xml:space="preserve"> become widely accepted and increasingly frequent instruments of government in many parts of the world, and it is now unusual for a new constitution to be drafted without at least some provision for direct democracy</w:t>
      </w:r>
      <w:r>
        <w:t xml:space="preserve">". </w:t>
      </w:r>
      <w:r w:rsidR="00757662">
        <w:t xml:space="preserve"> </w:t>
      </w:r>
    </w:p>
  </w:footnote>
  <w:footnote w:id="21">
    <w:p w14:paraId="0899752B" w14:textId="7607C3B2" w:rsidR="002A49E3" w:rsidRDefault="002A49E3">
      <w:pPr>
        <w:pStyle w:val="FootnoteText"/>
        <w:rPr>
          <w:rtl/>
        </w:rPr>
      </w:pPr>
      <w:r>
        <w:rPr>
          <w:rStyle w:val="FootnoteReference"/>
        </w:rPr>
        <w:footnoteRef/>
      </w:r>
      <w:r>
        <w:rPr>
          <w:rtl/>
        </w:rPr>
        <w:t xml:space="preserve"> </w:t>
      </w:r>
      <w:r>
        <w:rPr>
          <w:rFonts w:hint="cs"/>
          <w:rtl/>
        </w:rPr>
        <w:t xml:space="preserve">יש רק </w:t>
      </w:r>
      <w:r w:rsidR="00D326E5">
        <w:rPr>
          <w:rFonts w:hint="cs"/>
          <w:rtl/>
        </w:rPr>
        <w:t xml:space="preserve">מעשה אחד </w:t>
      </w:r>
      <w:r>
        <w:rPr>
          <w:rFonts w:hint="cs"/>
          <w:rtl/>
        </w:rPr>
        <w:t>המחייב משאל עם על־פי החוק הישראלי, והוא</w:t>
      </w:r>
      <w:r w:rsidR="005D3F04">
        <w:rPr>
          <w:rFonts w:hint="cs"/>
          <w:rtl/>
        </w:rPr>
        <w:t>:</w:t>
      </w:r>
      <w:r>
        <w:rPr>
          <w:rFonts w:hint="cs"/>
          <w:rtl/>
        </w:rPr>
        <w:t xml:space="preserve"> ויתור על או נסיגה חד-צדדית משטחים בריבונות ישראלית (חוק יסוד:</w:t>
      </w:r>
      <w:r>
        <w:t xml:space="preserve"> </w:t>
      </w:r>
      <w:r>
        <w:rPr>
          <w:rFonts w:hint="cs"/>
          <w:rtl/>
        </w:rPr>
        <w:t>משאל עם, ה'תשע"ד-2014)</w:t>
      </w:r>
      <w:r w:rsidR="00EA1BBB">
        <w:rPr>
          <w:rFonts w:hint="cs"/>
          <w:rtl/>
        </w:rPr>
        <w:t>;</w:t>
      </w:r>
      <w:r w:rsidR="00312A53">
        <w:rPr>
          <w:rFonts w:hint="cs"/>
          <w:rtl/>
        </w:rPr>
        <w:t xml:space="preserve"> חוק זה לא </w:t>
      </w:r>
      <w:r w:rsidR="00042057">
        <w:rPr>
          <w:rFonts w:hint="cs"/>
          <w:rtl/>
        </w:rPr>
        <w:t xml:space="preserve">הגיע עד </w:t>
      </w:r>
      <w:r w:rsidR="00CE7758">
        <w:rPr>
          <w:rFonts w:hint="cs"/>
          <w:rtl/>
        </w:rPr>
        <w:t xml:space="preserve">עתה </w:t>
      </w:r>
      <w:r w:rsidR="00042057">
        <w:rPr>
          <w:rFonts w:hint="cs"/>
          <w:rtl/>
        </w:rPr>
        <w:t>לכדי יישום.</w:t>
      </w:r>
      <w:r w:rsidR="00EA1BBB">
        <w:rPr>
          <w:rFonts w:hint="cs"/>
          <w:rtl/>
        </w:rPr>
        <w:t xml:space="preserve"> למעשה, ישראל היא אחת המדינות הדמוקרטיות היחידות בעולם שלא קיימה מעולם משאל עם (</w:t>
      </w:r>
      <w:r w:rsidR="00BE7071">
        <w:rPr>
          <w:rFonts w:hint="cs"/>
          <w:rtl/>
        </w:rPr>
        <w:t xml:space="preserve">דמוקרטיות </w:t>
      </w:r>
      <w:r w:rsidR="00EA1BBB">
        <w:rPr>
          <w:rFonts w:hint="cs"/>
          <w:rtl/>
        </w:rPr>
        <w:t xml:space="preserve">נוספות </w:t>
      </w:r>
      <w:r w:rsidR="00AF05D9">
        <w:rPr>
          <w:rFonts w:hint="cs"/>
          <w:rtl/>
        </w:rPr>
        <w:t>שלא קיימו משאלי עם הן</w:t>
      </w:r>
      <w:r w:rsidR="00EA1BBB">
        <w:rPr>
          <w:rFonts w:hint="cs"/>
          <w:rtl/>
        </w:rPr>
        <w:t>:</w:t>
      </w:r>
      <w:r w:rsidR="00EA1BBB">
        <w:t xml:space="preserve"> </w:t>
      </w:r>
      <w:r w:rsidR="00EA1BBB">
        <w:rPr>
          <w:rFonts w:hint="cs"/>
          <w:rtl/>
        </w:rPr>
        <w:t>הודו, שוודיה, הולנד</w:t>
      </w:r>
      <w:r w:rsidR="00BE7071">
        <w:rPr>
          <w:rFonts w:hint="cs"/>
          <w:rtl/>
        </w:rPr>
        <w:t xml:space="preserve">, </w:t>
      </w:r>
      <w:r w:rsidR="00EA1BBB">
        <w:rPr>
          <w:rFonts w:hint="cs"/>
          <w:rtl/>
        </w:rPr>
        <w:t>פינלנד</w:t>
      </w:r>
      <w:r w:rsidR="00BE7071">
        <w:rPr>
          <w:rFonts w:hint="cs"/>
          <w:rtl/>
        </w:rPr>
        <w:t xml:space="preserve"> ויפן</w:t>
      </w:r>
      <w:r w:rsidR="00EA1BBB">
        <w:rPr>
          <w:rFonts w:hint="cs"/>
          <w:rtl/>
        </w:rPr>
        <w:t>. בארה"ב לא מתקיימים משאלי עם ברמה הפדרלית, אבל יש משאלי עם רבים ברמת המדינות).</w:t>
      </w:r>
    </w:p>
    <w:p w14:paraId="3FB7FC75" w14:textId="77777777" w:rsidR="00312A53" w:rsidRDefault="00312A53">
      <w:pPr>
        <w:pStyle w:val="FootnoteText"/>
      </w:pPr>
    </w:p>
  </w:footnote>
  <w:footnote w:id="22">
    <w:p w14:paraId="5A061999" w14:textId="298EB1F6" w:rsidR="00061591" w:rsidRDefault="00061591" w:rsidP="00061591">
      <w:pPr>
        <w:pStyle w:val="FootnoteText"/>
        <w:rPr>
          <w:rtl/>
        </w:rPr>
      </w:pPr>
      <w:r>
        <w:rPr>
          <w:rStyle w:val="FootnoteReference"/>
        </w:rPr>
        <w:footnoteRef/>
      </w:r>
      <w:r>
        <w:rPr>
          <w:rtl/>
        </w:rPr>
        <w:t xml:space="preserve"> </w:t>
      </w:r>
      <w:r>
        <w:rPr>
          <w:rFonts w:hint="cs"/>
          <w:rtl/>
        </w:rPr>
        <w:t>סעיף 15(ד)(2) לחוק יסוד:</w:t>
      </w:r>
      <w:r>
        <w:t xml:space="preserve"> </w:t>
      </w:r>
      <w:r>
        <w:rPr>
          <w:rFonts w:hint="cs"/>
          <w:rtl/>
        </w:rPr>
        <w:t xml:space="preserve">השפיטה, ה'תשמ"ד-1984, ויקיטקסט </w:t>
      </w:r>
      <w:r>
        <w:rPr>
          <w:rtl/>
        </w:rPr>
        <w:t>–</w:t>
      </w:r>
      <w:r>
        <w:rPr>
          <w:rFonts w:hint="cs"/>
          <w:rtl/>
        </w:rPr>
        <w:t xml:space="preserve"> מאגר הטקסטים החופשי (</w:t>
      </w:r>
      <w:hyperlink r:id="rId7" w:history="1">
        <w:r w:rsidRPr="00D918F7">
          <w:rPr>
            <w:rStyle w:val="Hyperlink"/>
          </w:rPr>
          <w:t>https://he.wikisource.org</w:t>
        </w:r>
      </w:hyperlink>
      <w:r>
        <w:rPr>
          <w:rFonts w:hint="cs"/>
          <w:rtl/>
        </w:rPr>
        <w:t>)</w:t>
      </w:r>
      <w:r w:rsidR="000177F7">
        <w:rPr>
          <w:rFonts w:hint="cs"/>
          <w:rtl/>
        </w:rPr>
        <w:t>.</w:t>
      </w:r>
    </w:p>
    <w:p w14:paraId="1A9D6F7D" w14:textId="77777777" w:rsidR="00312A53" w:rsidRDefault="00312A53" w:rsidP="00061591">
      <w:pPr>
        <w:pStyle w:val="FootnoteText"/>
        <w:rPr>
          <w:rtl/>
        </w:rPr>
      </w:pPr>
    </w:p>
  </w:footnote>
  <w:footnote w:id="23">
    <w:p w14:paraId="727716BD" w14:textId="62E23B01" w:rsidR="00AA69BA" w:rsidRDefault="00AA69BA" w:rsidP="00AA69BA">
      <w:pPr>
        <w:pStyle w:val="FootnoteText"/>
        <w:rPr>
          <w:rtl/>
        </w:rPr>
      </w:pPr>
      <w:r>
        <w:rPr>
          <w:rStyle w:val="FootnoteReference"/>
        </w:rPr>
        <w:footnoteRef/>
      </w:r>
      <w:r>
        <w:rPr>
          <w:rtl/>
        </w:rPr>
        <w:t xml:space="preserve"> </w:t>
      </w:r>
      <w:r w:rsidR="00FA7122">
        <w:rPr>
          <w:rFonts w:hint="cs"/>
          <w:rtl/>
        </w:rPr>
        <w:t xml:space="preserve">דברי </w:t>
      </w:r>
      <w:r w:rsidR="00B124FE">
        <w:rPr>
          <w:rFonts w:hint="cs"/>
          <w:rtl/>
        </w:rPr>
        <w:t>שר המשפטים יריב לוין</w:t>
      </w:r>
      <w:r>
        <w:rPr>
          <w:rFonts w:hint="cs"/>
          <w:rtl/>
        </w:rPr>
        <w:t>. מתוך</w:t>
      </w:r>
      <w:r w:rsidR="00FA7122">
        <w:rPr>
          <w:rFonts w:hint="cs"/>
          <w:rtl/>
        </w:rPr>
        <w:t xml:space="preserve"> המאמר</w:t>
      </w:r>
      <w:r>
        <w:t xml:space="preserve"> </w:t>
      </w:r>
      <w:r w:rsidRPr="00AA69BA">
        <w:rPr>
          <w:rFonts w:hint="cs"/>
          <w:rtl/>
        </w:rPr>
        <w:t>"</w:t>
      </w:r>
      <w:r w:rsidRPr="00AA69BA">
        <w:rPr>
          <w:rtl/>
        </w:rPr>
        <w:t>דיון סוער בוועדת החוקה על הרפורמה במערכת המשפט</w:t>
      </w:r>
      <w:r w:rsidRPr="00AA69BA">
        <w:rPr>
          <w:rFonts w:hint="cs"/>
          <w:rtl/>
        </w:rPr>
        <w:t>"</w:t>
      </w:r>
      <w:r w:rsidR="00FA7122">
        <w:rPr>
          <w:rFonts w:hint="cs"/>
          <w:rtl/>
        </w:rPr>
        <w:t>,</w:t>
      </w:r>
      <w:r>
        <w:rPr>
          <w:rFonts w:hint="cs"/>
          <w:rtl/>
        </w:rPr>
        <w:t xml:space="preserve"> </w:t>
      </w:r>
      <w:r w:rsidRPr="004B30CA">
        <w:rPr>
          <w:rFonts w:hint="cs"/>
          <w:b/>
          <w:bCs/>
          <w:rtl/>
        </w:rPr>
        <w:t>אתר הכנסת</w:t>
      </w:r>
      <w:r>
        <w:rPr>
          <w:rFonts w:hint="cs"/>
          <w:rtl/>
        </w:rPr>
        <w:t xml:space="preserve"> </w:t>
      </w:r>
      <w:r w:rsidR="004B30CA">
        <w:rPr>
          <w:rFonts w:hint="cs"/>
          <w:rtl/>
        </w:rPr>
        <w:t>(</w:t>
      </w:r>
      <w:r>
        <w:rPr>
          <w:rFonts w:hint="cs"/>
          <w:rtl/>
        </w:rPr>
        <w:t>11.1.2023</w:t>
      </w:r>
      <w:r w:rsidR="004B30CA">
        <w:rPr>
          <w:rFonts w:hint="cs"/>
          <w:rtl/>
        </w:rPr>
        <w:t xml:space="preserve">), </w:t>
      </w:r>
      <w:hyperlink r:id="rId8" w:history="1">
        <w:r w:rsidR="004B30CA" w:rsidRPr="00690DB0">
          <w:rPr>
            <w:rStyle w:val="Hyperlink"/>
          </w:rPr>
          <w:t>https://main.knesset.gov.il/news/pressreleases/pages/press11.01.23.aspx</w:t>
        </w:r>
      </w:hyperlink>
      <w:r w:rsidR="004B30CA">
        <w:rPr>
          <w:rFonts w:hint="cs"/>
          <w:rtl/>
        </w:rPr>
        <w:t xml:space="preserve"> </w:t>
      </w:r>
    </w:p>
    <w:p w14:paraId="2DBFBACC" w14:textId="77777777" w:rsidR="00111FAE" w:rsidRPr="004B30CA" w:rsidRDefault="00111FAE" w:rsidP="00AA69BA">
      <w:pPr>
        <w:pStyle w:val="FootnoteText"/>
        <w:rPr>
          <w:rtl/>
        </w:rPr>
      </w:pPr>
    </w:p>
  </w:footnote>
  <w:footnote w:id="24">
    <w:p w14:paraId="52F20025" w14:textId="21C40B3C" w:rsidR="00D33AA6" w:rsidRDefault="00D33AA6" w:rsidP="00D33AA6">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Ref227791324 \h</w:instrText>
      </w:r>
      <w:r>
        <w:rPr>
          <w:rtl/>
        </w:rPr>
        <w:instrText xml:space="preserve"> </w:instrText>
      </w:r>
      <w:r>
        <w:rPr>
          <w:rtl/>
        </w:rPr>
      </w:r>
      <w:r>
        <w:rPr>
          <w:rtl/>
        </w:rPr>
        <w:fldChar w:fldCharType="separate"/>
      </w:r>
      <w:r w:rsidR="001B0115">
        <w:rPr>
          <w:rtl/>
        </w:rPr>
        <w:t>18</w:t>
      </w:r>
      <w:r>
        <w:rPr>
          <w:rtl/>
        </w:rPr>
        <w:fldChar w:fldCharType="end"/>
      </w:r>
      <w:r>
        <w:rPr>
          <w:rFonts w:hint="cs"/>
          <w:rtl/>
        </w:rPr>
        <w:t>, עמ' 464.</w:t>
      </w:r>
    </w:p>
    <w:p w14:paraId="3DCBF11F" w14:textId="77777777" w:rsidR="00B11921" w:rsidRDefault="00B11921" w:rsidP="00D33AA6">
      <w:pPr>
        <w:pStyle w:val="FootnoteText"/>
        <w:rPr>
          <w:rtl/>
        </w:rPr>
      </w:pPr>
    </w:p>
  </w:footnote>
  <w:footnote w:id="25">
    <w:p w14:paraId="445DBAAD" w14:textId="77777777" w:rsidR="00494FED" w:rsidRDefault="00EE5BF9">
      <w:pPr>
        <w:pStyle w:val="FootnoteText"/>
        <w:rPr>
          <w:rtl/>
        </w:rPr>
      </w:pPr>
      <w:r>
        <w:rPr>
          <w:rStyle w:val="FootnoteReference"/>
        </w:rPr>
        <w:footnoteRef/>
      </w:r>
      <w:r>
        <w:rPr>
          <w:rtl/>
        </w:rPr>
        <w:t xml:space="preserve"> </w:t>
      </w:r>
      <w:r w:rsidR="00494FED">
        <w:t xml:space="preserve">Marquis de Condorcet, </w:t>
      </w:r>
      <w:r w:rsidR="00494FED">
        <w:rPr>
          <w:i/>
          <w:iCs/>
        </w:rPr>
        <w:t xml:space="preserve">Essai sur </w:t>
      </w:r>
      <w:proofErr w:type="spellStart"/>
      <w:r w:rsidR="00494FED">
        <w:rPr>
          <w:i/>
          <w:iCs/>
        </w:rPr>
        <w:t>l'Application</w:t>
      </w:r>
      <w:proofErr w:type="spellEnd"/>
      <w:r w:rsidR="00494FED">
        <w:rPr>
          <w:i/>
          <w:iCs/>
        </w:rPr>
        <w:t xml:space="preserve"> de </w:t>
      </w:r>
      <w:proofErr w:type="spellStart"/>
      <w:r w:rsidR="00494FED">
        <w:rPr>
          <w:i/>
          <w:iCs/>
        </w:rPr>
        <w:t>l'Analyse</w:t>
      </w:r>
      <w:proofErr w:type="spellEnd"/>
      <w:r w:rsidR="00494FED">
        <w:rPr>
          <w:i/>
          <w:iCs/>
        </w:rPr>
        <w:t xml:space="preserve"> à la </w:t>
      </w:r>
      <w:proofErr w:type="spellStart"/>
      <w:r w:rsidR="00494FED">
        <w:rPr>
          <w:i/>
          <w:iCs/>
        </w:rPr>
        <w:t>Probabilité</w:t>
      </w:r>
      <w:proofErr w:type="spellEnd"/>
      <w:r w:rsidR="00494FED">
        <w:rPr>
          <w:i/>
          <w:iCs/>
        </w:rPr>
        <w:t xml:space="preserve"> des </w:t>
      </w:r>
      <w:proofErr w:type="spellStart"/>
      <w:r w:rsidR="00494FED">
        <w:rPr>
          <w:i/>
          <w:iCs/>
        </w:rPr>
        <w:t>Décisions</w:t>
      </w:r>
      <w:proofErr w:type="spellEnd"/>
      <w:r w:rsidR="00494FED">
        <w:rPr>
          <w:i/>
          <w:iCs/>
        </w:rPr>
        <w:t xml:space="preserve"> </w:t>
      </w:r>
      <w:proofErr w:type="spellStart"/>
      <w:r w:rsidR="00494FED">
        <w:rPr>
          <w:i/>
          <w:iCs/>
        </w:rPr>
        <w:t>Rendues</w:t>
      </w:r>
      <w:proofErr w:type="spellEnd"/>
      <w:r w:rsidR="00494FED">
        <w:rPr>
          <w:i/>
          <w:iCs/>
        </w:rPr>
        <w:t xml:space="preserve"> à la </w:t>
      </w:r>
      <w:proofErr w:type="spellStart"/>
      <w:r w:rsidR="00494FED">
        <w:rPr>
          <w:i/>
          <w:iCs/>
        </w:rPr>
        <w:t>Pluralité</w:t>
      </w:r>
      <w:proofErr w:type="spellEnd"/>
      <w:r w:rsidR="00494FED">
        <w:rPr>
          <w:i/>
          <w:iCs/>
        </w:rPr>
        <w:t xml:space="preserve"> des Voix</w:t>
      </w:r>
      <w:r w:rsidR="00494FED">
        <w:t xml:space="preserve"> (1785). </w:t>
      </w:r>
      <w:r w:rsidR="00494FED">
        <w:rPr>
          <w:rFonts w:hint="cs"/>
          <w:rtl/>
        </w:rPr>
        <w:t xml:space="preserve"> </w:t>
      </w:r>
    </w:p>
    <w:p w14:paraId="574D7503" w14:textId="19D5072E" w:rsidR="00EE5BF9" w:rsidRDefault="00494FED">
      <w:pPr>
        <w:pStyle w:val="FootnoteText"/>
        <w:rPr>
          <w:rtl/>
        </w:rPr>
      </w:pPr>
      <w:r>
        <w:rPr>
          <w:rFonts w:hint="cs"/>
          <w:rtl/>
        </w:rPr>
        <w:t>להרחבה והדגמה ראו:</w:t>
      </w:r>
      <w:r>
        <w:t xml:space="preserve"> </w:t>
      </w:r>
      <w:r>
        <w:rPr>
          <w:rFonts w:hint="cs"/>
          <w:rtl/>
        </w:rPr>
        <w:t>"</w:t>
      </w:r>
      <w:r w:rsidR="006565D3">
        <w:rPr>
          <w:rFonts w:hint="cs"/>
          <w:rtl/>
        </w:rPr>
        <w:t xml:space="preserve">משפט המושבעים של קונדורסה", </w:t>
      </w:r>
      <w:r w:rsidR="006565D3" w:rsidRPr="006565D3">
        <w:rPr>
          <w:rFonts w:hint="cs"/>
          <w:b/>
          <w:bCs/>
          <w:rtl/>
        </w:rPr>
        <w:t>ויקיפדיה</w:t>
      </w:r>
      <w:r w:rsidR="008E1C25">
        <w:rPr>
          <w:rFonts w:hint="cs"/>
          <w:rtl/>
        </w:rPr>
        <w:t xml:space="preserve"> </w:t>
      </w:r>
      <w:r w:rsidR="008E1C25" w:rsidRPr="008E1C25">
        <w:rPr>
          <w:rFonts w:hint="cs"/>
          <w:b/>
          <w:bCs/>
          <w:rtl/>
        </w:rPr>
        <w:t>בעברית</w:t>
      </w:r>
      <w:r w:rsidR="006565D3">
        <w:rPr>
          <w:rFonts w:hint="cs"/>
          <w:rtl/>
        </w:rPr>
        <w:t xml:space="preserve"> (עדכון אחרון 4.4.2026).</w:t>
      </w:r>
    </w:p>
    <w:p w14:paraId="2A6D345A" w14:textId="77777777" w:rsidR="00AB620C" w:rsidRDefault="00AB620C">
      <w:pPr>
        <w:pStyle w:val="FootnoteText"/>
        <w:rPr>
          <w:rtl/>
        </w:rPr>
      </w:pPr>
    </w:p>
  </w:footnote>
  <w:footnote w:id="26">
    <w:p w14:paraId="5C62D1BF" w14:textId="77777777" w:rsidR="00B40072" w:rsidRDefault="008E1C25">
      <w:pPr>
        <w:pStyle w:val="FootnoteText"/>
        <w:rPr>
          <w:rtl/>
        </w:rPr>
      </w:pPr>
      <w:r>
        <w:rPr>
          <w:rStyle w:val="FootnoteReference"/>
        </w:rPr>
        <w:footnoteRef/>
      </w:r>
      <w:r>
        <w:rPr>
          <w:rtl/>
        </w:rPr>
        <w:t xml:space="preserve"> </w:t>
      </w:r>
      <w:r w:rsidR="00494FED">
        <w:rPr>
          <w:rFonts w:hint="cs"/>
          <w:rtl/>
        </w:rPr>
        <w:t>ראו:</w:t>
      </w:r>
    </w:p>
    <w:p w14:paraId="246B94DE" w14:textId="4DCD69DB" w:rsidR="00494FED" w:rsidRDefault="00494FED" w:rsidP="00B40072">
      <w:pPr>
        <w:pStyle w:val="FootnoteText"/>
        <w:bidi w:val="0"/>
        <w:rPr>
          <w:rtl/>
        </w:rPr>
      </w:pPr>
      <w:r>
        <w:rPr>
          <w:rFonts w:hint="cs"/>
          <w:rtl/>
        </w:rPr>
        <w:t xml:space="preserve"> </w:t>
      </w:r>
      <w:r>
        <w:t xml:space="preserve">Christian List &amp; Robert Goodin, "Epistemic Democracy: Generalizing the Condorcet Jury Theorem", 9 </w:t>
      </w:r>
      <w:r>
        <w:rPr>
          <w:b/>
          <w:bCs/>
        </w:rPr>
        <w:t>Journal of Political Philosophy</w:t>
      </w:r>
      <w:r>
        <w:t xml:space="preserve"> 277 (2001).</w:t>
      </w:r>
    </w:p>
    <w:p w14:paraId="69006F18" w14:textId="28D2D018" w:rsidR="00BF0A65" w:rsidRDefault="00494FED" w:rsidP="00494FED">
      <w:pPr>
        <w:pStyle w:val="FootnoteText"/>
        <w:rPr>
          <w:rtl/>
        </w:rPr>
      </w:pPr>
      <w:r>
        <w:rPr>
          <w:rFonts w:hint="cs"/>
          <w:rtl/>
        </w:rPr>
        <w:t xml:space="preserve">לסקירה עדכנית יותר, </w:t>
      </w:r>
      <w:r w:rsidR="008E1C25">
        <w:rPr>
          <w:rFonts w:hint="cs"/>
          <w:rtl/>
        </w:rPr>
        <w:t>ראו "</w:t>
      </w:r>
      <w:r w:rsidR="008E1C25">
        <w:t xml:space="preserve">Jury </w:t>
      </w:r>
      <w:r w:rsidR="00CC6F26">
        <w:t>t</w:t>
      </w:r>
      <w:r w:rsidR="008E1C25">
        <w:t>heorem</w:t>
      </w:r>
      <w:r w:rsidR="008E1C25">
        <w:rPr>
          <w:rFonts w:hint="cs"/>
          <w:rtl/>
        </w:rPr>
        <w:t xml:space="preserve">" </w:t>
      </w:r>
      <w:r w:rsidR="008E1C25" w:rsidRPr="008E1C25">
        <w:rPr>
          <w:rFonts w:hint="cs"/>
          <w:b/>
          <w:bCs/>
          <w:rtl/>
        </w:rPr>
        <w:t>ויקיפדיה באנגלית</w:t>
      </w:r>
      <w:r w:rsidR="008E1C25">
        <w:rPr>
          <w:rFonts w:hint="cs"/>
          <w:rtl/>
        </w:rPr>
        <w:t xml:space="preserve"> (עדכון אחרון 11.2.2026).</w:t>
      </w:r>
      <w:r w:rsidR="00BF0A65">
        <w:rPr>
          <w:rFonts w:hint="cs"/>
          <w:rtl/>
        </w:rPr>
        <w:t xml:space="preserve"> </w:t>
      </w:r>
      <w:r>
        <w:rPr>
          <w:rFonts w:hint="cs"/>
          <w:rtl/>
        </w:rPr>
        <w:t>ו</w:t>
      </w:r>
      <w:r w:rsidR="00BF0A65">
        <w:rPr>
          <w:rFonts w:hint="cs"/>
          <w:rtl/>
        </w:rPr>
        <w:t xml:space="preserve">ראו גם במאמרי: </w:t>
      </w:r>
    </w:p>
    <w:p w14:paraId="3F9076FA" w14:textId="58BCDB53" w:rsidR="00494FED" w:rsidRDefault="00494FED" w:rsidP="00494FED">
      <w:pPr>
        <w:pStyle w:val="FootnoteText"/>
        <w:bidi w:val="0"/>
      </w:pPr>
      <w:r>
        <w:t xml:space="preserve">Roi </w:t>
      </w:r>
      <w:proofErr w:type="spellStart"/>
      <w:r>
        <w:t>Baharad</w:t>
      </w:r>
      <w:proofErr w:type="spellEnd"/>
      <w:r>
        <w:t>, Shmuel Nitzan and Erel Segal-Halevi, "</w:t>
      </w:r>
      <w:r w:rsidRPr="00494FED">
        <w:t>On the degree of generalizability of Condorcet jury theorem</w:t>
      </w:r>
      <w:r>
        <w:t xml:space="preserve">", </w:t>
      </w:r>
      <w:r w:rsidRPr="00494FED">
        <w:rPr>
          <w:b/>
          <w:bCs/>
        </w:rPr>
        <w:t>Theory and Decision</w:t>
      </w:r>
      <w:r>
        <w:t xml:space="preserve"> 99 (2025), 781—800.</w:t>
      </w:r>
    </w:p>
    <w:p w14:paraId="12B603B4" w14:textId="77777777" w:rsidR="00AB620C" w:rsidRDefault="00AB620C" w:rsidP="00AB620C">
      <w:pPr>
        <w:pStyle w:val="FootnoteText"/>
        <w:bidi w:val="0"/>
      </w:pPr>
    </w:p>
  </w:footnote>
  <w:footnote w:id="27">
    <w:p w14:paraId="404E7D63" w14:textId="40B3BE13" w:rsidR="00661440" w:rsidRDefault="00661440" w:rsidP="00661440">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Ref227791324 \h</w:instrText>
      </w:r>
      <w:r>
        <w:rPr>
          <w:rtl/>
        </w:rPr>
        <w:instrText xml:space="preserve"> </w:instrText>
      </w:r>
      <w:r>
        <w:rPr>
          <w:rtl/>
        </w:rPr>
      </w:r>
      <w:r>
        <w:rPr>
          <w:rtl/>
        </w:rPr>
        <w:fldChar w:fldCharType="separate"/>
      </w:r>
      <w:r w:rsidR="001B0115">
        <w:rPr>
          <w:rtl/>
        </w:rPr>
        <w:t>18</w:t>
      </w:r>
      <w:r>
        <w:rPr>
          <w:rtl/>
        </w:rPr>
        <w:fldChar w:fldCharType="end"/>
      </w:r>
      <w:r>
        <w:rPr>
          <w:rFonts w:hint="cs"/>
          <w:rtl/>
        </w:rPr>
        <w:t>, עמ' 467</w:t>
      </w:r>
      <w:r>
        <w:rPr>
          <w:rtl/>
        </w:rPr>
        <w:t>—</w:t>
      </w:r>
      <w:r>
        <w:rPr>
          <w:rFonts w:hint="cs"/>
          <w:rtl/>
        </w:rPr>
        <w:t>470.</w:t>
      </w:r>
      <w:r w:rsidR="0093424B">
        <w:rPr>
          <w:rFonts w:hint="cs"/>
          <w:rtl/>
        </w:rPr>
        <w:t xml:space="preserve"> על־פי:</w:t>
      </w:r>
    </w:p>
    <w:p w14:paraId="03E08308" w14:textId="20287C28" w:rsidR="0093424B" w:rsidRDefault="0093424B" w:rsidP="0093424B">
      <w:pPr>
        <w:pStyle w:val="FootnoteText"/>
        <w:bidi w:val="0"/>
      </w:pPr>
      <w:r>
        <w:t xml:space="preserve">A. </w:t>
      </w:r>
      <w:r w:rsidRPr="0093424B">
        <w:t>Lupia</w:t>
      </w:r>
      <w:r>
        <w:t>, "</w:t>
      </w:r>
      <w:r w:rsidRPr="0093424B">
        <w:t>Shortcuts versus encyclopedias:</w:t>
      </w:r>
      <w:r>
        <w:t xml:space="preserve"> </w:t>
      </w:r>
      <w:r w:rsidRPr="0093424B">
        <w:t>information and voting behavior in California</w:t>
      </w:r>
      <w:r>
        <w:t xml:space="preserve"> </w:t>
      </w:r>
      <w:r w:rsidRPr="0093424B">
        <w:t>insurance reform elections</w:t>
      </w:r>
      <w:r>
        <w:t xml:space="preserve">", </w:t>
      </w:r>
      <w:r w:rsidRPr="0093424B">
        <w:rPr>
          <w:b/>
          <w:bCs/>
        </w:rPr>
        <w:t>American Political Science Review</w:t>
      </w:r>
      <w:r w:rsidRPr="0093424B">
        <w:rPr>
          <w:i/>
          <w:iCs/>
        </w:rPr>
        <w:t xml:space="preserve"> </w:t>
      </w:r>
      <w:r w:rsidRPr="0093424B">
        <w:t>88</w:t>
      </w:r>
      <w:r>
        <w:t xml:space="preserve"> (1994), </w:t>
      </w:r>
      <w:r w:rsidRPr="0093424B">
        <w:t>63–76</w:t>
      </w:r>
      <w:r>
        <w:t>.</w:t>
      </w:r>
    </w:p>
    <w:p w14:paraId="372E6C27" w14:textId="77777777" w:rsidR="001622A2" w:rsidRDefault="001622A2" w:rsidP="00661440">
      <w:pPr>
        <w:pStyle w:val="FootnoteText"/>
        <w:rPr>
          <w:rtl/>
        </w:rPr>
      </w:pPr>
    </w:p>
  </w:footnote>
  <w:footnote w:id="28">
    <w:p w14:paraId="79EAC4D9" w14:textId="239555F2" w:rsidR="000E322B" w:rsidRDefault="000E322B" w:rsidP="008E66E7">
      <w:pPr>
        <w:pStyle w:val="FootnoteText"/>
        <w:rPr>
          <w:rtl/>
        </w:rPr>
      </w:pPr>
      <w:r>
        <w:rPr>
          <w:rStyle w:val="FootnoteReference"/>
        </w:rPr>
        <w:footnoteRef/>
      </w:r>
      <w:r>
        <w:rPr>
          <w:rFonts w:hint="cs"/>
          <w:rtl/>
        </w:rPr>
        <w:t xml:space="preserve"> </w:t>
      </w:r>
      <w:r>
        <w:rPr>
          <w:rFonts w:hint="cs"/>
          <w:rtl/>
        </w:rPr>
        <w:t xml:space="preserve">כיום ישנם כלים דיגיטליים המאפשרים לבצע תהליך זה של "הצבעה לפי המלצות" באופן אוטומטי: כל אזרח יכול לבחור להעביר את זכות ההצבעה שלו בנושא כלשהו לאזרח אחר כלשהו, שהוא מחשיב כמומחה בנושא זה. התהליך נקרא "דמוקרטיה נזילה" </w:t>
      </w:r>
      <w:r>
        <w:rPr>
          <w:rtl/>
        </w:rPr>
        <w:t>–</w:t>
      </w:r>
      <w:r>
        <w:rPr>
          <w:rFonts w:hint="cs"/>
          <w:rtl/>
        </w:rPr>
        <w:t xml:space="preserve"> </w:t>
      </w:r>
      <w:r>
        <w:t>Liquid Democracy</w:t>
      </w:r>
      <w:r>
        <w:rPr>
          <w:rFonts w:hint="cs"/>
          <w:rtl/>
        </w:rPr>
        <w:t>. ראו למשל:</w:t>
      </w:r>
    </w:p>
    <w:p w14:paraId="0DA18173" w14:textId="77777777" w:rsidR="00DC691B" w:rsidRDefault="000E322B" w:rsidP="000E322B">
      <w:pPr>
        <w:pStyle w:val="FootnoteText"/>
        <w:bidi w:val="0"/>
      </w:pPr>
      <w:proofErr w:type="spellStart"/>
      <w:r w:rsidRPr="000E322B">
        <w:t>Pattharapong</w:t>
      </w:r>
      <w:proofErr w:type="spellEnd"/>
      <w:r w:rsidRPr="000E322B">
        <w:t xml:space="preserve"> </w:t>
      </w:r>
      <w:proofErr w:type="spellStart"/>
      <w:r w:rsidRPr="000E322B">
        <w:t>Rattanasevee</w:t>
      </w:r>
      <w:proofErr w:type="spellEnd"/>
      <w:r w:rsidRPr="000E322B">
        <w:t xml:space="preserve">, Yared </w:t>
      </w:r>
      <w:proofErr w:type="spellStart"/>
      <w:r w:rsidRPr="000E322B">
        <w:t>Akarapattananukul</w:t>
      </w:r>
      <w:proofErr w:type="spellEnd"/>
      <w:r w:rsidRPr="000E322B">
        <w:t xml:space="preserve"> and </w:t>
      </w:r>
      <w:proofErr w:type="spellStart"/>
      <w:r w:rsidRPr="000E322B">
        <w:t>Yodsapon</w:t>
      </w:r>
      <w:proofErr w:type="spellEnd"/>
      <w:r w:rsidRPr="000E322B">
        <w:t xml:space="preserve"> </w:t>
      </w:r>
      <w:proofErr w:type="spellStart"/>
      <w:r w:rsidRPr="000E322B">
        <w:t>Chirawut</w:t>
      </w:r>
      <w:proofErr w:type="spellEnd"/>
      <w:r w:rsidRPr="000E322B">
        <w:t xml:space="preserve">. "Direct democracy in the digital age: opportunities, challenges, and new approaches." </w:t>
      </w:r>
      <w:r w:rsidRPr="000E322B">
        <w:rPr>
          <w:b/>
          <w:bCs/>
        </w:rPr>
        <w:t>Humanities and Social Sciences Communications</w:t>
      </w:r>
      <w:r w:rsidRPr="000E322B">
        <w:t xml:space="preserve"> 11.1 (2024)</w:t>
      </w:r>
      <w:r w:rsidR="00FA4775">
        <w:t>.</w:t>
      </w:r>
      <w:r w:rsidRPr="000E322B">
        <w:t xml:space="preserve"> 1681</w:t>
      </w:r>
      <w:r w:rsidR="00FA4775">
        <w:t>:1—9.</w:t>
      </w:r>
    </w:p>
    <w:p w14:paraId="0848AA16" w14:textId="16556C06" w:rsidR="000E322B" w:rsidRDefault="000E322B" w:rsidP="008E66E7">
      <w:pPr>
        <w:pStyle w:val="FootnoteText"/>
        <w:rPr>
          <w:rtl/>
        </w:rPr>
      </w:pPr>
      <w:r w:rsidRPr="000E322B">
        <w:rPr>
          <w:rtl/>
        </w:rPr>
        <w:t>‏</w:t>
      </w:r>
      <w:r w:rsidR="008E66E7">
        <w:rPr>
          <w:rFonts w:hint="cs"/>
          <w:rtl/>
        </w:rPr>
        <w:t>התהליך מעורר בעיות רבות שעדיין אין להן פתרון, כגון: בעיית אנונימיות ההצבעה, והגנה מפני התקפות סייבר.</w:t>
      </w:r>
      <w:r w:rsidR="00FE1BD5">
        <w:rPr>
          <w:rFonts w:hint="cs"/>
          <w:rtl/>
        </w:rPr>
        <w:t xml:space="preserve"> </w:t>
      </w:r>
      <w:r w:rsidR="009B55A2">
        <w:rPr>
          <w:rFonts w:hint="cs"/>
          <w:rtl/>
        </w:rPr>
        <w:t>דיון מפורט בנושא הוא מעבר להיקפו של מאמר זה.</w:t>
      </w:r>
    </w:p>
    <w:p w14:paraId="5E1708E6" w14:textId="77777777" w:rsidR="008E66E7" w:rsidRDefault="008E66E7" w:rsidP="008E66E7">
      <w:pPr>
        <w:pStyle w:val="FootnoteText"/>
        <w:bidi w:val="0"/>
      </w:pPr>
    </w:p>
  </w:footnote>
  <w:footnote w:id="29">
    <w:p w14:paraId="44762948" w14:textId="6B5BECAB" w:rsidR="005B4513" w:rsidRDefault="005B4513" w:rsidP="005B4513">
      <w:pPr>
        <w:pStyle w:val="FootnoteText"/>
        <w:bidi w:val="0"/>
      </w:pPr>
      <w:r>
        <w:rPr>
          <w:rStyle w:val="FootnoteReference"/>
        </w:rPr>
        <w:footnoteRef/>
      </w:r>
      <w:r>
        <w:rPr>
          <w:rtl/>
        </w:rPr>
        <w:t xml:space="preserve"> </w:t>
      </w:r>
      <w:r>
        <w:t>Linda Madu</w:t>
      </w:r>
      <w:r w:rsidR="00DD7EAF">
        <w:t>z</w:t>
      </w:r>
      <w:r>
        <w:t xml:space="preserve">, "Direct Democracy", </w:t>
      </w:r>
      <w:r w:rsidRPr="005B4513">
        <w:rPr>
          <w:b/>
          <w:bCs/>
        </w:rPr>
        <w:t>Living Reviews in Democracy</w:t>
      </w:r>
      <w:r>
        <w:t xml:space="preserve"> (2010), page 4. </w:t>
      </w:r>
    </w:p>
    <w:p w14:paraId="5D5C6E3D" w14:textId="77777777" w:rsidR="00676940" w:rsidRDefault="00676940" w:rsidP="00676940">
      <w:pPr>
        <w:pStyle w:val="FootnoteText"/>
        <w:bidi w:val="0"/>
      </w:pPr>
    </w:p>
  </w:footnote>
  <w:footnote w:id="30">
    <w:p w14:paraId="40C0FD23" w14:textId="71C86B11" w:rsidR="000C248B" w:rsidRDefault="000C248B">
      <w:pPr>
        <w:pStyle w:val="FootnoteText"/>
      </w:pPr>
      <w:r>
        <w:rPr>
          <w:rStyle w:val="FootnoteReference"/>
        </w:rPr>
        <w:footnoteRef/>
      </w:r>
      <w:r>
        <w:rPr>
          <w:rtl/>
        </w:rPr>
        <w:t xml:space="preserve"> </w:t>
      </w:r>
      <w:r>
        <w:rPr>
          <w:rFonts w:hint="cs"/>
          <w:rtl/>
        </w:rPr>
        <w:t>לעיל ה"ש 16, עמ' 474</w:t>
      </w:r>
      <w:r w:rsidR="00526203">
        <w:rPr>
          <w:rFonts w:hint="eastAsia"/>
          <w:rtl/>
        </w:rPr>
        <w:t>–</w:t>
      </w:r>
      <w:r>
        <w:rPr>
          <w:rFonts w:hint="cs"/>
          <w:rtl/>
        </w:rPr>
        <w:t>475.</w:t>
      </w:r>
    </w:p>
  </w:footnote>
  <w:footnote w:id="31">
    <w:p w14:paraId="01829440" w14:textId="470D6B35" w:rsidR="00015E21" w:rsidRDefault="00015E21" w:rsidP="00015E21">
      <w:pPr>
        <w:pStyle w:val="FootnoteText"/>
        <w:bidi w:val="0"/>
      </w:pPr>
      <w:r>
        <w:rPr>
          <w:rStyle w:val="FootnoteReference"/>
        </w:rPr>
        <w:footnoteRef/>
      </w:r>
      <w:r>
        <w:rPr>
          <w:rtl/>
        </w:rPr>
        <w:t xml:space="preserve"> </w:t>
      </w:r>
      <w:r>
        <w:t xml:space="preserve">Zoltan Tibor </w:t>
      </w:r>
      <w:proofErr w:type="spellStart"/>
      <w:r>
        <w:t>Pallinger</w:t>
      </w:r>
      <w:proofErr w:type="spellEnd"/>
      <w:r>
        <w:t xml:space="preserve">, "Direct Democracy – The Swiss Experience". Working papers, </w:t>
      </w:r>
      <w:r w:rsidRPr="008E403E">
        <w:rPr>
          <w:b/>
          <w:bCs/>
        </w:rPr>
        <w:t>Liechtenstein Institute</w:t>
      </w:r>
      <w:r>
        <w:t xml:space="preserve"> No. 14 (2007). </w:t>
      </w:r>
      <w:hyperlink r:id="rId9" w:history="1">
        <w:r w:rsidRPr="00690DB0">
          <w:rPr>
            <w:rStyle w:val="Hyperlink"/>
          </w:rPr>
          <w:t>https://s3.eu-central-1.amazonaws.com/ext-linst-c5-web-liechtenstein-institut.li-2019/1215/7435/0328/LIAP_014_0.pdf</w:t>
        </w:r>
      </w:hyperlink>
      <w:r>
        <w:t xml:space="preserve">. </w:t>
      </w:r>
      <w:r>
        <w:rPr>
          <w:rFonts w:hint="cs"/>
          <w:rtl/>
        </w:rPr>
        <w:t>סעיף 3.1, עמ' 5.</w:t>
      </w:r>
      <w:r>
        <w:br/>
      </w:r>
    </w:p>
  </w:footnote>
  <w:footnote w:id="32">
    <w:p w14:paraId="39D3D5F5" w14:textId="0F386416" w:rsidR="006056FD" w:rsidRDefault="006056FD" w:rsidP="006056FD">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Ref227791324 \h</w:instrText>
      </w:r>
      <w:r>
        <w:rPr>
          <w:rtl/>
        </w:rPr>
        <w:instrText xml:space="preserve"> </w:instrText>
      </w:r>
      <w:r>
        <w:rPr>
          <w:rtl/>
        </w:rPr>
      </w:r>
      <w:r>
        <w:rPr>
          <w:rtl/>
        </w:rPr>
        <w:fldChar w:fldCharType="separate"/>
      </w:r>
      <w:r w:rsidR="001B0115">
        <w:rPr>
          <w:rtl/>
        </w:rPr>
        <w:t>18</w:t>
      </w:r>
      <w:r>
        <w:rPr>
          <w:rtl/>
        </w:rPr>
        <w:fldChar w:fldCharType="end"/>
      </w:r>
      <w:r>
        <w:rPr>
          <w:rFonts w:hint="cs"/>
          <w:rtl/>
        </w:rPr>
        <w:t>, עמ' 473.</w:t>
      </w:r>
    </w:p>
    <w:p w14:paraId="32B3F382" w14:textId="0EC3F97D" w:rsidR="006056FD" w:rsidRDefault="006056FD">
      <w:pPr>
        <w:pStyle w:val="FootnoteText"/>
        <w:rPr>
          <w:rtl/>
        </w:rPr>
      </w:pPr>
    </w:p>
  </w:footnote>
  <w:footnote w:id="33">
    <w:p w14:paraId="160F6604" w14:textId="017E2D49" w:rsidR="00D65CD7" w:rsidRDefault="00D65CD7" w:rsidP="00D65CD7">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Ref227791324 \h</w:instrText>
      </w:r>
      <w:r>
        <w:rPr>
          <w:rtl/>
        </w:rPr>
        <w:instrText xml:space="preserve"> </w:instrText>
      </w:r>
      <w:r>
        <w:rPr>
          <w:rtl/>
        </w:rPr>
      </w:r>
      <w:r>
        <w:rPr>
          <w:rtl/>
        </w:rPr>
        <w:fldChar w:fldCharType="separate"/>
      </w:r>
      <w:r w:rsidR="001B0115">
        <w:rPr>
          <w:rtl/>
        </w:rPr>
        <w:t>18</w:t>
      </w:r>
      <w:r>
        <w:rPr>
          <w:rtl/>
        </w:rPr>
        <w:fldChar w:fldCharType="end"/>
      </w:r>
      <w:r>
        <w:rPr>
          <w:rFonts w:hint="cs"/>
          <w:rtl/>
        </w:rPr>
        <w:t>, עמ' 470</w:t>
      </w:r>
      <w:r w:rsidR="00FE5A08">
        <w:rPr>
          <w:rFonts w:hint="cs"/>
          <w:rtl/>
        </w:rPr>
        <w:t>–</w:t>
      </w:r>
      <w:r>
        <w:rPr>
          <w:rFonts w:hint="cs"/>
          <w:rtl/>
        </w:rPr>
        <w:t>472.</w:t>
      </w:r>
    </w:p>
    <w:p w14:paraId="67C970F5" w14:textId="77777777" w:rsidR="00D65CD7" w:rsidRDefault="00D65CD7" w:rsidP="00D65CD7">
      <w:pPr>
        <w:pStyle w:val="FootnoteText"/>
      </w:pPr>
    </w:p>
  </w:footnote>
  <w:footnote w:id="34">
    <w:p w14:paraId="17E9326A" w14:textId="5C599364" w:rsidR="004B08F4" w:rsidRDefault="004B08F4" w:rsidP="004B08F4">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Ref228221826 \h</w:instrText>
      </w:r>
      <w:r>
        <w:rPr>
          <w:rtl/>
        </w:rPr>
        <w:instrText xml:space="preserve"> </w:instrText>
      </w:r>
      <w:r>
        <w:rPr>
          <w:rtl/>
        </w:rPr>
      </w:r>
      <w:r>
        <w:rPr>
          <w:rtl/>
        </w:rPr>
        <w:fldChar w:fldCharType="separate"/>
      </w:r>
      <w:r w:rsidR="001B0115">
        <w:rPr>
          <w:rtl/>
        </w:rPr>
        <w:t>28</w:t>
      </w:r>
      <w:r>
        <w:rPr>
          <w:rtl/>
        </w:rPr>
        <w:fldChar w:fldCharType="end"/>
      </w:r>
      <w:r w:rsidR="00FE5A08">
        <w:rPr>
          <w:rFonts w:hint="cs"/>
          <w:rtl/>
        </w:rPr>
        <w:t>, עמ' 8</w:t>
      </w:r>
      <w:r w:rsidR="00FE5A08">
        <w:rPr>
          <w:rFonts w:hint="eastAsia"/>
          <w:rtl/>
        </w:rPr>
        <w:t>–</w:t>
      </w:r>
      <w:r w:rsidR="00FE5A08">
        <w:rPr>
          <w:rFonts w:hint="cs"/>
          <w:rtl/>
        </w:rPr>
        <w:t>9.</w:t>
      </w:r>
    </w:p>
    <w:p w14:paraId="683FD470" w14:textId="77777777" w:rsidR="004B08F4" w:rsidRDefault="004B08F4" w:rsidP="004B08F4">
      <w:pPr>
        <w:pStyle w:val="FootnoteText"/>
        <w:rPr>
          <w:rtl/>
        </w:rPr>
      </w:pPr>
    </w:p>
  </w:footnote>
  <w:footnote w:id="35">
    <w:p w14:paraId="55CB4A91" w14:textId="791D8703" w:rsidR="00D15AE6" w:rsidRDefault="00D15AE6" w:rsidP="00D15AE6">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Ref227502641 \h</w:instrText>
      </w:r>
      <w:r>
        <w:rPr>
          <w:rtl/>
        </w:rPr>
        <w:instrText xml:space="preserve"> </w:instrText>
      </w:r>
      <w:r>
        <w:rPr>
          <w:rtl/>
        </w:rPr>
      </w:r>
      <w:r>
        <w:rPr>
          <w:rtl/>
        </w:rPr>
        <w:fldChar w:fldCharType="separate"/>
      </w:r>
      <w:r w:rsidR="001B0115">
        <w:rPr>
          <w:lang w:val="en-GB"/>
        </w:rPr>
        <w:t>Error! Bookmark not defined.</w:t>
      </w:r>
      <w:r>
        <w:rPr>
          <w:rtl/>
        </w:rPr>
        <w:fldChar w:fldCharType="end"/>
      </w:r>
      <w:r>
        <w:rPr>
          <w:rFonts w:hint="cs"/>
          <w:rtl/>
        </w:rPr>
        <w:t>, סעיף 3.2, עמ' 8 והלאה.</w:t>
      </w:r>
    </w:p>
    <w:p w14:paraId="72F86F05" w14:textId="77777777" w:rsidR="00D15AE6" w:rsidRDefault="00D15AE6" w:rsidP="00D15AE6">
      <w:pPr>
        <w:pStyle w:val="FootnoteText"/>
        <w:rPr>
          <w:rtl/>
        </w:rPr>
      </w:pPr>
    </w:p>
  </w:footnote>
  <w:footnote w:id="36">
    <w:p w14:paraId="6EBBFBE6" w14:textId="393CFCFE" w:rsidR="00183CB1" w:rsidRDefault="00183CB1" w:rsidP="00183CB1">
      <w:pPr>
        <w:pStyle w:val="FootnoteText"/>
        <w:rPr>
          <w:rtl/>
        </w:rPr>
      </w:pPr>
      <w:r>
        <w:rPr>
          <w:rStyle w:val="FootnoteReference"/>
        </w:rPr>
        <w:footnoteRef/>
      </w:r>
      <w:r>
        <w:rPr>
          <w:rtl/>
        </w:rPr>
        <w:t xml:space="preserve"> </w:t>
      </w:r>
      <w:r>
        <w:rPr>
          <w:rFonts w:hint="cs"/>
          <w:rtl/>
        </w:rPr>
        <w:t xml:space="preserve">הרב זלמן ברוך מלמד, "מבצע פנים אל פנים </w:t>
      </w:r>
      <w:r>
        <w:rPr>
          <w:rtl/>
        </w:rPr>
        <w:t>–</w:t>
      </w:r>
      <w:r>
        <w:rPr>
          <w:rFonts w:hint="cs"/>
          <w:rtl/>
        </w:rPr>
        <w:t xml:space="preserve"> תיקון חטא המרגלים", אתר ערוץ 7 (25.4.2004), </w:t>
      </w:r>
      <w:hyperlink r:id="rId10" w:history="1">
        <w:r w:rsidRPr="00690DB0">
          <w:rPr>
            <w:rStyle w:val="Hyperlink"/>
          </w:rPr>
          <w:t>https://www.inn.co.il/news/508703</w:t>
        </w:r>
      </w:hyperlink>
      <w:r>
        <w:rPr>
          <w:rFonts w:hint="cs"/>
          <w:rtl/>
        </w:rPr>
        <w:t xml:space="preserve"> </w:t>
      </w:r>
      <w:r>
        <w:rPr>
          <w:rtl/>
        </w:rPr>
        <w:br/>
      </w:r>
    </w:p>
  </w:footnote>
  <w:footnote w:id="37">
    <w:p w14:paraId="3CBB8E08" w14:textId="0CE6A969" w:rsidR="00183CB1" w:rsidRDefault="00183CB1" w:rsidP="00183CB1">
      <w:pPr>
        <w:pStyle w:val="FootnoteText"/>
        <w:rPr>
          <w:rtl/>
        </w:rPr>
      </w:pPr>
      <w:r>
        <w:rPr>
          <w:rStyle w:val="FootnoteReference"/>
        </w:rPr>
        <w:footnoteRef/>
      </w:r>
      <w:r>
        <w:rPr>
          <w:rtl/>
        </w:rPr>
        <w:t xml:space="preserve"> </w:t>
      </w:r>
      <w:r>
        <w:rPr>
          <w:rFonts w:hint="cs"/>
          <w:rtl/>
        </w:rPr>
        <w:t xml:space="preserve">ראו גם דבריו של מנחם </w:t>
      </w:r>
      <w:proofErr w:type="spellStart"/>
      <w:r>
        <w:rPr>
          <w:rFonts w:hint="cs"/>
          <w:rtl/>
        </w:rPr>
        <w:t>מאוטנר</w:t>
      </w:r>
      <w:proofErr w:type="spellEnd"/>
      <w:r>
        <w:rPr>
          <w:rFonts w:hint="cs"/>
          <w:rtl/>
        </w:rPr>
        <w:t xml:space="preserve">, 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Ref228266839 \h</w:instrText>
      </w:r>
      <w:r>
        <w:rPr>
          <w:rtl/>
        </w:rPr>
        <w:instrText xml:space="preserve"> </w:instrText>
      </w:r>
      <w:r>
        <w:rPr>
          <w:rtl/>
        </w:rPr>
      </w:r>
      <w:r>
        <w:rPr>
          <w:rtl/>
        </w:rPr>
        <w:fldChar w:fldCharType="separate"/>
      </w:r>
      <w:r w:rsidR="001B0115">
        <w:rPr>
          <w:rtl/>
        </w:rPr>
        <w:t>4</w:t>
      </w:r>
      <w:r>
        <w:rPr>
          <w:rtl/>
        </w:rPr>
        <w:fldChar w:fldCharType="end"/>
      </w:r>
      <w:r>
        <w:rPr>
          <w:rFonts w:hint="cs"/>
          <w:rtl/>
        </w:rPr>
        <w:t>,</w:t>
      </w:r>
      <w:r>
        <w:t xml:space="preserve"> </w:t>
      </w:r>
      <w:r>
        <w:rPr>
          <w:rFonts w:hint="cs"/>
          <w:rtl/>
        </w:rPr>
        <w:t>המתייחס למשבר הקבוצה הליברלית בישראל:</w:t>
      </w:r>
      <w:r>
        <w:t xml:space="preserve"> </w:t>
      </w:r>
      <w:r>
        <w:rPr>
          <w:rFonts w:hint="cs"/>
          <w:rtl/>
        </w:rPr>
        <w:t>"</w:t>
      </w:r>
      <w:r w:rsidRPr="008E5805">
        <w:rPr>
          <w:i/>
          <w:iCs/>
          <w:rtl/>
        </w:rPr>
        <w:t>אני טוען כי בנסיבות</w:t>
      </w:r>
      <w:r>
        <w:rPr>
          <w:rFonts w:hint="cs"/>
          <w:i/>
          <w:iCs/>
          <w:rtl/>
        </w:rPr>
        <w:t xml:space="preserve"> </w:t>
      </w:r>
      <w:r w:rsidRPr="008E5805">
        <w:rPr>
          <w:i/>
          <w:iCs/>
          <w:rtl/>
        </w:rPr>
        <w:t>האלה הייתה הקבוצה הליברלית צריכה "ללכת אל העם" ולנהל פוליטיקה של "שטח" עם</w:t>
      </w:r>
      <w:r>
        <w:rPr>
          <w:rFonts w:hint="cs"/>
          <w:i/>
          <w:iCs/>
          <w:rtl/>
        </w:rPr>
        <w:t xml:space="preserve"> </w:t>
      </w:r>
      <w:r w:rsidRPr="008E5805">
        <w:rPr>
          <w:i/>
          <w:iCs/>
        </w:rPr>
        <w:t>"</w:t>
      </w:r>
      <w:r w:rsidRPr="008E5805">
        <w:rPr>
          <w:i/>
          <w:iCs/>
          <w:rtl/>
        </w:rPr>
        <w:t>האנשים" – פוליטיקה של "דפיקה על דלתות", המבוססת על יצירת "קשר-עין" עם</w:t>
      </w:r>
      <w:r>
        <w:rPr>
          <w:rFonts w:hint="cs"/>
          <w:i/>
          <w:iCs/>
          <w:rtl/>
        </w:rPr>
        <w:t xml:space="preserve"> </w:t>
      </w:r>
      <w:r w:rsidRPr="008E5805">
        <w:rPr>
          <w:i/>
          <w:iCs/>
          <w:rtl/>
        </w:rPr>
        <w:t>שכבות נרחבות בחברה. פוליטיקה מסוג זה היא הפוליטיקה האפקטיבית מכולן ליצירת</w:t>
      </w:r>
      <w:r>
        <w:rPr>
          <w:rFonts w:hint="cs"/>
          <w:i/>
          <w:iCs/>
          <w:rtl/>
        </w:rPr>
        <w:t xml:space="preserve"> </w:t>
      </w:r>
      <w:r w:rsidRPr="008E5805">
        <w:rPr>
          <w:i/>
          <w:iCs/>
          <w:rtl/>
        </w:rPr>
        <w:t>נאמנויות פוליטיות. הבוחרים מבינים כאשר נוהגים בהם כבוד, מתעניינים בעמדותיהם</w:t>
      </w:r>
      <w:r>
        <w:rPr>
          <w:rFonts w:hint="cs"/>
          <w:i/>
          <w:iCs/>
          <w:rtl/>
        </w:rPr>
        <w:t xml:space="preserve"> </w:t>
      </w:r>
      <w:r w:rsidRPr="008E5805">
        <w:rPr>
          <w:i/>
          <w:iCs/>
          <w:rtl/>
        </w:rPr>
        <w:t>ומבקשים להבין את עמדותיהם ולהטמיען בחשיבה ובפעולה הפוליטית. במקביל</w:t>
      </w:r>
      <w:r w:rsidRPr="008E5805">
        <w:rPr>
          <w:i/>
          <w:iCs/>
        </w:rPr>
        <w:t>,</w:t>
      </w:r>
      <w:r>
        <w:rPr>
          <w:rFonts w:hint="cs"/>
          <w:i/>
          <w:iCs/>
          <w:rtl/>
        </w:rPr>
        <w:t xml:space="preserve"> </w:t>
      </w:r>
      <w:r w:rsidRPr="008E5805">
        <w:rPr>
          <w:i/>
          <w:iCs/>
          <w:rtl/>
        </w:rPr>
        <w:t>הפוליטיקאים לומדים על הבעיות האמיתיות של הבוחרים, ומתייחסים אליהן בדבריהם</w:t>
      </w:r>
      <w:r>
        <w:rPr>
          <w:rFonts w:hint="cs"/>
          <w:i/>
          <w:iCs/>
          <w:rtl/>
        </w:rPr>
        <w:t xml:space="preserve"> </w:t>
      </w:r>
      <w:r w:rsidRPr="008E5805">
        <w:rPr>
          <w:i/>
          <w:iCs/>
          <w:rtl/>
        </w:rPr>
        <w:t>ובמעשיהם</w:t>
      </w:r>
      <w:r w:rsidRPr="008E5805">
        <w:rPr>
          <w:i/>
          <w:iCs/>
        </w:rPr>
        <w:t>.</w:t>
      </w:r>
      <w:r>
        <w:rPr>
          <w:rFonts w:hint="cs"/>
          <w:rtl/>
        </w:rPr>
        <w:t>"</w:t>
      </w:r>
    </w:p>
    <w:p w14:paraId="02449CE8" w14:textId="77777777" w:rsidR="00183CB1" w:rsidRDefault="00183CB1" w:rsidP="00183CB1">
      <w:pPr>
        <w:pStyle w:val="FootnoteText"/>
        <w:rPr>
          <w:rtl/>
        </w:rPr>
      </w:pPr>
    </w:p>
  </w:footnote>
  <w:footnote w:id="38">
    <w:p w14:paraId="1D441526" w14:textId="66432D62" w:rsidR="00183CB1" w:rsidRDefault="00183CB1" w:rsidP="00183CB1">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Ref228221826 \h</w:instrText>
      </w:r>
      <w:r>
        <w:rPr>
          <w:rtl/>
        </w:rPr>
        <w:instrText xml:space="preserve"> </w:instrText>
      </w:r>
      <w:r>
        <w:rPr>
          <w:rtl/>
        </w:rPr>
      </w:r>
      <w:r>
        <w:rPr>
          <w:rtl/>
        </w:rPr>
        <w:fldChar w:fldCharType="separate"/>
      </w:r>
      <w:r w:rsidR="001B0115">
        <w:rPr>
          <w:rtl/>
        </w:rPr>
        <w:t>28</w:t>
      </w:r>
      <w:r>
        <w:rPr>
          <w:rtl/>
        </w:rPr>
        <w:fldChar w:fldCharType="end"/>
      </w:r>
      <w:r w:rsidR="005D5083">
        <w:rPr>
          <w:rFonts w:hint="cs"/>
          <w:rtl/>
        </w:rPr>
        <w:t>, עמ' 7.</w:t>
      </w:r>
    </w:p>
    <w:p w14:paraId="57EC145E" w14:textId="77777777" w:rsidR="00183CB1" w:rsidRDefault="00183CB1" w:rsidP="00183CB1">
      <w:pPr>
        <w:pStyle w:val="FootnoteText"/>
        <w:rPr>
          <w:rtl/>
        </w:rPr>
      </w:pPr>
    </w:p>
  </w:footnote>
  <w:footnote w:id="39">
    <w:p w14:paraId="695F1D6B" w14:textId="54E08750" w:rsidR="001730C0" w:rsidRDefault="001730C0" w:rsidP="001730C0">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Ref228221826 \h</w:instrText>
      </w:r>
      <w:r>
        <w:rPr>
          <w:rtl/>
        </w:rPr>
        <w:instrText xml:space="preserve"> </w:instrText>
      </w:r>
      <w:r>
        <w:rPr>
          <w:rtl/>
        </w:rPr>
      </w:r>
      <w:r>
        <w:rPr>
          <w:rtl/>
        </w:rPr>
        <w:fldChar w:fldCharType="separate"/>
      </w:r>
      <w:r w:rsidR="001B0115">
        <w:rPr>
          <w:rtl/>
        </w:rPr>
        <w:t>28</w:t>
      </w:r>
      <w:r>
        <w:rPr>
          <w:rtl/>
        </w:rPr>
        <w:fldChar w:fldCharType="end"/>
      </w:r>
      <w:r>
        <w:rPr>
          <w:rFonts w:hint="cs"/>
          <w:rtl/>
        </w:rPr>
        <w:t>, עמ' 7.</w:t>
      </w:r>
    </w:p>
    <w:p w14:paraId="00F88EA2" w14:textId="77777777" w:rsidR="001730C0" w:rsidRDefault="001730C0" w:rsidP="001730C0">
      <w:pPr>
        <w:pStyle w:val="FootnoteText"/>
        <w:rPr>
          <w:rtl/>
        </w:rPr>
      </w:pPr>
    </w:p>
  </w:footnote>
  <w:footnote w:id="40">
    <w:p w14:paraId="3A6F46F8" w14:textId="46720F9F" w:rsidR="00AC2A29" w:rsidRDefault="00AC2A29" w:rsidP="00AC2A29">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Ref227676801 \h</w:instrText>
      </w:r>
      <w:r>
        <w:rPr>
          <w:rtl/>
        </w:rPr>
        <w:instrText xml:space="preserve"> </w:instrText>
      </w:r>
      <w:r>
        <w:rPr>
          <w:rtl/>
        </w:rPr>
      </w:r>
      <w:r>
        <w:rPr>
          <w:rtl/>
        </w:rPr>
        <w:fldChar w:fldCharType="separate"/>
      </w:r>
      <w:r w:rsidR="001B0115">
        <w:rPr>
          <w:rtl/>
        </w:rPr>
        <w:t>5</w:t>
      </w:r>
      <w:r>
        <w:rPr>
          <w:rtl/>
        </w:rPr>
        <w:fldChar w:fldCharType="end"/>
      </w:r>
      <w:r>
        <w:rPr>
          <w:rFonts w:hint="cs"/>
          <w:rtl/>
        </w:rPr>
        <w:t>.</w:t>
      </w:r>
    </w:p>
    <w:p w14:paraId="5A02669E" w14:textId="77777777" w:rsidR="00AC2A29" w:rsidRDefault="00AC2A29" w:rsidP="00AC2A29">
      <w:pPr>
        <w:pStyle w:val="FootnoteText"/>
        <w:rPr>
          <w:rtl/>
        </w:rPr>
      </w:pPr>
    </w:p>
  </w:footnote>
  <w:footnote w:id="41">
    <w:p w14:paraId="2927A307" w14:textId="3C74C271" w:rsidR="00AC2A29" w:rsidRDefault="00AC2A29" w:rsidP="00AC2A29">
      <w:pPr>
        <w:pStyle w:val="FootnoteText"/>
        <w:rPr>
          <w:rtl/>
        </w:rPr>
      </w:pPr>
      <w:r>
        <w:rPr>
          <w:rStyle w:val="FootnoteReference"/>
        </w:rPr>
        <w:footnoteRef/>
      </w:r>
      <w:r>
        <w:rPr>
          <w:rtl/>
        </w:rPr>
        <w:t xml:space="preserve"> </w:t>
      </w:r>
      <w:r>
        <w:rPr>
          <w:rFonts w:hint="cs"/>
          <w:rtl/>
        </w:rPr>
        <w:t xml:space="preserve">ידידיה שטרן, "משבר האמון בבית המשפט", מאמר דעה, אתר המכון הישראלי לדמוקרטיה (10.6.2008), </w:t>
      </w:r>
      <w:hyperlink r:id="rId11" w:history="1">
        <w:r w:rsidRPr="00690DB0">
          <w:rPr>
            <w:rStyle w:val="Hyperlink"/>
          </w:rPr>
          <w:t>https://www.idi.org.il/articles/8377</w:t>
        </w:r>
      </w:hyperlink>
      <w:r>
        <w:rPr>
          <w:rFonts w:hint="cs"/>
          <w:rtl/>
        </w:rPr>
        <w:t>. "</w:t>
      </w:r>
      <w:r w:rsidRPr="004D00E7">
        <w:rPr>
          <w:i/>
          <w:iCs/>
          <w:rtl/>
        </w:rPr>
        <w:t>אם אין זו רק אופנה, אלא משבר אמון מתמשך, יתברר שאין לנו דרך מוסכמת להכרעה בסכסוכים, בייחוד בסוגיות המבטאות מחלוקות בין סקטורים שונים. זהו אובדן של נכס חברתי אסטרטגי מהמעלה הראשונה</w:t>
      </w:r>
      <w:r>
        <w:rPr>
          <w:rFonts w:hint="cs"/>
          <w:rtl/>
        </w:rPr>
        <w:t>".</w:t>
      </w:r>
    </w:p>
    <w:p w14:paraId="70A5FF09" w14:textId="77777777" w:rsidR="00AC2A29" w:rsidRDefault="00AC2A29" w:rsidP="00AC2A29">
      <w:pPr>
        <w:pStyle w:val="FootnoteText"/>
        <w:rPr>
          <w:rtl/>
        </w:rPr>
      </w:pPr>
      <w:r>
        <w:rPr>
          <w:rFonts w:hint="cs"/>
          <w:rtl/>
        </w:rPr>
        <w:t>וראו גם את דברי נשיא בית המשפט העליון (כתוארו אז)</w:t>
      </w:r>
      <w:r>
        <w:t xml:space="preserve"> </w:t>
      </w:r>
      <w:r>
        <w:rPr>
          <w:rFonts w:hint="cs"/>
          <w:rtl/>
        </w:rPr>
        <w:t xml:space="preserve">מאיר שמגר, בבג"ץ 433/87 </w:t>
      </w:r>
      <w:r w:rsidRPr="00CC1AAC">
        <w:rPr>
          <w:rFonts w:hint="cs"/>
          <w:b/>
          <w:bCs/>
          <w:rtl/>
        </w:rPr>
        <w:t>רכטמן נ' לשכת עורכי הדין</w:t>
      </w:r>
      <w:r>
        <w:rPr>
          <w:rFonts w:hint="cs"/>
          <w:rtl/>
        </w:rPr>
        <w:t xml:space="preserve">, פ"ד </w:t>
      </w:r>
      <w:proofErr w:type="spellStart"/>
      <w:r>
        <w:rPr>
          <w:rFonts w:hint="cs"/>
          <w:rtl/>
        </w:rPr>
        <w:t>מא</w:t>
      </w:r>
      <w:proofErr w:type="spellEnd"/>
      <w:r>
        <w:rPr>
          <w:rFonts w:hint="cs"/>
          <w:rtl/>
        </w:rPr>
        <w:t>(4) 610 (1987):</w:t>
      </w:r>
      <w:r>
        <w:t xml:space="preserve"> </w:t>
      </w:r>
      <w:r>
        <w:rPr>
          <w:rFonts w:hint="cs"/>
          <w:rtl/>
        </w:rPr>
        <w:t>"</w:t>
      </w:r>
      <w:r w:rsidRPr="004D00E7">
        <w:rPr>
          <w:rFonts w:hint="cs"/>
          <w:i/>
          <w:iCs/>
          <w:rtl/>
        </w:rPr>
        <w:t>שלטון החוק כרוך בשמירה מתמדת על האמון במוסדות המשפט</w:t>
      </w:r>
      <w:r>
        <w:rPr>
          <w:rFonts w:hint="cs"/>
          <w:rtl/>
        </w:rPr>
        <w:t>".</w:t>
      </w:r>
    </w:p>
    <w:p w14:paraId="2B35DEA7" w14:textId="77777777" w:rsidR="00AC2A29" w:rsidRDefault="00AC2A29" w:rsidP="00AC2A29">
      <w:pPr>
        <w:pStyle w:val="FootnoteText"/>
        <w:rPr>
          <w:rtl/>
        </w:rPr>
      </w:pPr>
    </w:p>
  </w:footnote>
  <w:footnote w:id="42">
    <w:p w14:paraId="4CAB732D" w14:textId="1E584A89" w:rsidR="00AC2A29" w:rsidRDefault="00AC2A29" w:rsidP="00AC2A29">
      <w:pPr>
        <w:pStyle w:val="FootnoteText"/>
        <w:rPr>
          <w:rtl/>
        </w:rPr>
      </w:pPr>
      <w:r>
        <w:rPr>
          <w:rStyle w:val="FootnoteReference"/>
        </w:rPr>
        <w:footnoteRef/>
      </w:r>
      <w:r>
        <w:rPr>
          <w:rtl/>
        </w:rPr>
        <w:t xml:space="preserve"> </w:t>
      </w:r>
      <w:r>
        <w:rPr>
          <w:rFonts w:hint="cs"/>
          <w:rtl/>
        </w:rPr>
        <w:t xml:space="preserve">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Ref227676840 \h</w:instrText>
      </w:r>
      <w:r>
        <w:rPr>
          <w:rtl/>
        </w:rPr>
        <w:instrText xml:space="preserve"> </w:instrText>
      </w:r>
      <w:r>
        <w:rPr>
          <w:rtl/>
        </w:rPr>
      </w:r>
      <w:r>
        <w:rPr>
          <w:rtl/>
        </w:rPr>
        <w:fldChar w:fldCharType="separate"/>
      </w:r>
      <w:r w:rsidR="001B0115">
        <w:rPr>
          <w:rtl/>
        </w:rPr>
        <w:t>3</w:t>
      </w:r>
      <w:r>
        <w:rPr>
          <w:rtl/>
        </w:rPr>
        <w:fldChar w:fldCharType="end"/>
      </w:r>
      <w:r>
        <w:rPr>
          <w:rFonts w:hint="cs"/>
          <w:rtl/>
        </w:rPr>
        <w:t>.</w:t>
      </w:r>
    </w:p>
    <w:p w14:paraId="686E5C43" w14:textId="77777777" w:rsidR="00AC2A29" w:rsidRDefault="00AC2A29" w:rsidP="00AC2A29">
      <w:pPr>
        <w:pStyle w:val="FootnoteText"/>
      </w:pPr>
    </w:p>
  </w:footnote>
  <w:footnote w:id="43">
    <w:p w14:paraId="64C55947" w14:textId="1D4646E8" w:rsidR="0039347B" w:rsidRDefault="0039347B" w:rsidP="0039347B">
      <w:pPr>
        <w:pStyle w:val="FootnoteText"/>
        <w:rPr>
          <w:rtl/>
        </w:rPr>
      </w:pPr>
      <w:r>
        <w:rPr>
          <w:rStyle w:val="FootnoteReference"/>
        </w:rPr>
        <w:footnoteRef/>
      </w:r>
      <w:r>
        <w:rPr>
          <w:rtl/>
        </w:rPr>
        <w:t xml:space="preserve"> </w:t>
      </w:r>
      <w:r>
        <w:rPr>
          <w:rFonts w:hint="cs"/>
          <w:rtl/>
        </w:rPr>
        <w:t xml:space="preserve">מנחם </w:t>
      </w:r>
      <w:proofErr w:type="spellStart"/>
      <w:r>
        <w:rPr>
          <w:rFonts w:hint="cs"/>
          <w:rtl/>
        </w:rPr>
        <w:t>מאוטנר</w:t>
      </w:r>
      <w:proofErr w:type="spellEnd"/>
      <w:r>
        <w:rPr>
          <w:rFonts w:hint="cs"/>
          <w:rtl/>
        </w:rPr>
        <w:t xml:space="preserve"> (לעיל ה"ש </w:t>
      </w:r>
      <w:r>
        <w:rPr>
          <w:rtl/>
        </w:rPr>
        <w:fldChar w:fldCharType="begin"/>
      </w:r>
      <w:r>
        <w:rPr>
          <w:rtl/>
        </w:rPr>
        <w:instrText xml:space="preserve"> </w:instrText>
      </w:r>
      <w:r>
        <w:rPr>
          <w:rFonts w:hint="cs"/>
        </w:rPr>
        <w:instrText>NOTEREF</w:instrText>
      </w:r>
      <w:r>
        <w:rPr>
          <w:rFonts w:hint="cs"/>
          <w:rtl/>
        </w:rPr>
        <w:instrText xml:space="preserve"> _</w:instrText>
      </w:r>
      <w:r>
        <w:rPr>
          <w:rFonts w:hint="cs"/>
        </w:rPr>
        <w:instrText>Ref228266839 \h</w:instrText>
      </w:r>
      <w:r>
        <w:rPr>
          <w:rtl/>
        </w:rPr>
        <w:instrText xml:space="preserve"> </w:instrText>
      </w:r>
      <w:r>
        <w:rPr>
          <w:rtl/>
        </w:rPr>
      </w:r>
      <w:r>
        <w:rPr>
          <w:rtl/>
        </w:rPr>
        <w:fldChar w:fldCharType="separate"/>
      </w:r>
      <w:r w:rsidR="001B0115">
        <w:rPr>
          <w:rtl/>
        </w:rPr>
        <w:t>4</w:t>
      </w:r>
      <w:r>
        <w:rPr>
          <w:rtl/>
        </w:rPr>
        <w:fldChar w:fldCharType="end"/>
      </w:r>
      <w:r>
        <w:rPr>
          <w:rFonts w:hint="cs"/>
          <w:rtl/>
        </w:rPr>
        <w:t>, עמ' 15) טען, שפסיקת בג"ץ בעניין הסבירות הסתמכה בעיקרה לא על נימוקים משפטיים פורמליים, אלא על שיקול אסטרטגי: ביטול עילת הסבירות עלול בעתיד לגרום לפגיעה בערכים ליברליים</w:t>
      </w:r>
      <w:r w:rsidR="00B91F37">
        <w:rPr>
          <w:rFonts w:hint="cs"/>
          <w:rtl/>
        </w:rPr>
        <w:t>, ולכן יש לבטל את התיקון גם אם אין לכך הצדקה משפטית. אני טוען, שהעברת ההחלטה למשאל עם היא בחירה אסטרטגית מוצלחת יותר, שכן היא עשויה לחזק את אמון הציבור בבית המשפט.</w:t>
      </w:r>
    </w:p>
    <w:p w14:paraId="01FEEF09" w14:textId="77777777" w:rsidR="0039347B" w:rsidRDefault="0039347B" w:rsidP="0039347B">
      <w:pPr>
        <w:pStyle w:val="FootnoteText"/>
      </w:pPr>
    </w:p>
  </w:footnote>
  <w:footnote w:id="44">
    <w:p w14:paraId="6175E5E5" w14:textId="6817E5BF" w:rsidR="005B7F1C" w:rsidRDefault="005B7F1C" w:rsidP="005B7F1C">
      <w:pPr>
        <w:pStyle w:val="FootnoteText"/>
        <w:bidi w:val="0"/>
      </w:pPr>
      <w:r>
        <w:rPr>
          <w:rStyle w:val="FootnoteReference"/>
        </w:rPr>
        <w:footnoteRef/>
      </w:r>
      <w:r>
        <w:rPr>
          <w:rtl/>
        </w:rPr>
        <w:t xml:space="preserve"> </w:t>
      </w:r>
      <w:r>
        <w:t xml:space="preserve">Stefan Voigt, "Empirical Effects of Direct Democracy", </w:t>
      </w:r>
      <w:r w:rsidRPr="005B7F1C">
        <w:rPr>
          <w:b/>
          <w:bCs/>
        </w:rPr>
        <w:t>Progressive Post</w:t>
      </w:r>
      <w:r>
        <w:t xml:space="preserve"> (28/10/2019), </w:t>
      </w:r>
      <w:hyperlink r:id="rId12" w:history="1">
        <w:r w:rsidRPr="00223514">
          <w:rPr>
            <w:rStyle w:val="Hyperlink"/>
          </w:rPr>
          <w:t>https://feps-europe.eu/empirical-effects-of-direct-democracy/</w:t>
        </w:r>
      </w:hyperlink>
      <w:r>
        <w:t xml:space="preserve"> </w:t>
      </w:r>
    </w:p>
    <w:p w14:paraId="4F169FA5" w14:textId="77777777" w:rsidR="005B7F1C" w:rsidRDefault="005B7F1C" w:rsidP="005B7F1C">
      <w:pPr>
        <w:pStyle w:val="FootnoteText"/>
        <w:bidi w:val="0"/>
      </w:pPr>
    </w:p>
  </w:footnote>
  <w:footnote w:id="45">
    <w:p w14:paraId="08374CC5" w14:textId="55AB5FBA" w:rsidR="009B1297" w:rsidRDefault="009B1297">
      <w:pPr>
        <w:pStyle w:val="FootnoteText"/>
        <w:rPr>
          <w:rtl/>
        </w:rPr>
      </w:pPr>
      <w:r>
        <w:rPr>
          <w:rStyle w:val="FootnoteReference"/>
        </w:rPr>
        <w:footnoteRef/>
      </w:r>
      <w:r>
        <w:rPr>
          <w:rtl/>
        </w:rPr>
        <w:t xml:space="preserve"> </w:t>
      </w:r>
      <w:r w:rsidR="006E091A">
        <w:rPr>
          <w:rFonts w:hint="cs"/>
          <w:rtl/>
        </w:rPr>
        <w:t xml:space="preserve">הוגו צ'אבז השתמש במשאל עם, שבו </w:t>
      </w:r>
      <w:r w:rsidR="006F1EE6">
        <w:rPr>
          <w:rFonts w:hint="cs"/>
          <w:rtl/>
        </w:rPr>
        <w:t>השתתפו רק כ</w:t>
      </w:r>
      <w:r w:rsidR="00EE034C">
        <w:rPr>
          <w:rFonts w:hint="cs"/>
          <w:rtl/>
        </w:rPr>
        <w:t>־</w:t>
      </w:r>
      <w:r w:rsidR="006F1EE6">
        <w:rPr>
          <w:rFonts w:hint="cs"/>
          <w:rtl/>
        </w:rPr>
        <w:t>40%</w:t>
      </w:r>
      <w:r w:rsidR="006F1EE6">
        <w:t xml:space="preserve"> </w:t>
      </w:r>
      <w:r w:rsidR="006F1EE6">
        <w:rPr>
          <w:rFonts w:hint="cs"/>
          <w:rtl/>
        </w:rPr>
        <w:t>מהאזרחים, על־מנת לבטל את הדמוקרטיה בוונצואלה ולהעניק לעצמו סמכויות שלטון ללא הגבלה. ראו:</w:t>
      </w:r>
    </w:p>
    <w:p w14:paraId="496E44E9" w14:textId="5EDB779B" w:rsidR="006E091A" w:rsidRDefault="006E091A" w:rsidP="006E091A">
      <w:pPr>
        <w:pStyle w:val="FootnoteText"/>
        <w:bidi w:val="0"/>
      </w:pPr>
      <w:r>
        <w:t>Diego A. Zembrano, "</w:t>
      </w:r>
      <w:r w:rsidRPr="006E091A">
        <w:t>The Constitutional Path to Dictatorship in Venezuela</w:t>
      </w:r>
      <w:r>
        <w:t xml:space="preserve">". Opinion editorial – </w:t>
      </w:r>
      <w:r w:rsidRPr="006E091A">
        <w:rPr>
          <w:b/>
          <w:bCs/>
        </w:rPr>
        <w:t>Stanford Law School</w:t>
      </w:r>
      <w:r>
        <w:t xml:space="preserve"> (20/3/2019). </w:t>
      </w:r>
      <w:hyperlink r:id="rId13" w:history="1">
        <w:r w:rsidRPr="009B77FB">
          <w:rPr>
            <w:rStyle w:val="Hyperlink"/>
          </w:rPr>
          <w:t>https://law.stanford.edu/2019/03/20/the-constitutional-path-to-dictatorship-in-venezuela/</w:t>
        </w:r>
      </w:hyperlink>
      <w:r>
        <w:t xml:space="preserve"> </w:t>
      </w:r>
    </w:p>
    <w:p w14:paraId="5D40906A" w14:textId="77777777" w:rsidR="006E091A" w:rsidRDefault="006E091A">
      <w:pPr>
        <w:pStyle w:val="FootnoteText"/>
        <w:rPr>
          <w:rtl/>
        </w:rPr>
      </w:pPr>
    </w:p>
    <w:p w14:paraId="46166EF1" w14:textId="77777777" w:rsidR="009B1297" w:rsidRDefault="009B1297">
      <w:pPr>
        <w:pStyle w:val="FootnoteText"/>
      </w:pPr>
    </w:p>
  </w:footnote>
  <w:footnote w:id="46">
    <w:p w14:paraId="491B9A97" w14:textId="1F31155F" w:rsidR="00A438DF" w:rsidRDefault="00A438DF" w:rsidP="008011B1">
      <w:pPr>
        <w:pStyle w:val="FootnoteText"/>
        <w:bidi w:val="0"/>
      </w:pPr>
      <w:r>
        <w:rPr>
          <w:rStyle w:val="FootnoteReference"/>
        </w:rPr>
        <w:footnoteRef/>
      </w:r>
      <w:r>
        <w:rPr>
          <w:rtl/>
        </w:rPr>
        <w:t xml:space="preserve"> </w:t>
      </w:r>
      <w:r>
        <w:t xml:space="preserve">Michael Broyde, "Let Judges Review Supreme Court Justices' Recusal Decisions", </w:t>
      </w:r>
      <w:r>
        <w:rPr>
          <w:b/>
          <w:bCs/>
        </w:rPr>
        <w:t>Bloomberg Law</w:t>
      </w:r>
      <w:r>
        <w:t xml:space="preserve"> (1</w:t>
      </w:r>
      <w:r w:rsidR="00E455BB">
        <w:t>.</w:t>
      </w:r>
      <w:r>
        <w:t>6</w:t>
      </w:r>
      <w:r w:rsidR="00E455BB">
        <w:t>.</w:t>
      </w:r>
      <w:r>
        <w:t>2023).</w:t>
      </w:r>
      <w:r w:rsidR="00B24748">
        <w:t xml:space="preserve"> </w:t>
      </w:r>
      <w:hyperlink r:id="rId14" w:history="1">
        <w:r w:rsidR="00B24748" w:rsidRPr="00223514">
          <w:rPr>
            <w:rStyle w:val="Hyperlink"/>
          </w:rPr>
          <w:t>https://news.bloomberglaw.com/us-law-week/let-judges-review-supreme-court-justices-recusal-decisions</w:t>
        </w:r>
      </w:hyperlink>
      <w:r w:rsidR="00B24748">
        <w:t xml:space="preserve"> </w:t>
      </w:r>
    </w:p>
    <w:p w14:paraId="43067DB4" w14:textId="77777777" w:rsidR="00A438DF" w:rsidRDefault="00A438DF" w:rsidP="00A438DF">
      <w:pPr>
        <w:pStyle w:val="FootnoteText"/>
        <w:bidi w:val="0"/>
      </w:pPr>
    </w:p>
  </w:footnote>
  <w:footnote w:id="47">
    <w:p w14:paraId="38D7C475" w14:textId="5B4EAB40" w:rsidR="00B135AF" w:rsidRDefault="00000000" w:rsidP="005E530A">
      <w:pPr>
        <w:pStyle w:val="FootnoteText"/>
        <w:bidi w:val="0"/>
        <w:rPr>
          <w:rtl/>
        </w:rPr>
      </w:pPr>
      <w:r>
        <w:rPr>
          <w:rStyle w:val="FootnoteReference"/>
        </w:rPr>
        <w:footnoteRef/>
      </w:r>
      <w:r>
        <w:t xml:space="preserve">"Kagan's High Court Ethics Proposal Poses Enforcement Challenges", </w:t>
      </w:r>
      <w:r>
        <w:rPr>
          <w:b/>
          <w:bCs/>
        </w:rPr>
        <w:t>Bloomberg Law</w:t>
      </w:r>
      <w:r>
        <w:t xml:space="preserve"> (</w:t>
      </w:r>
      <w:r w:rsidR="00DE75A9">
        <w:t>29</w:t>
      </w:r>
      <w:r w:rsidR="00E455BB">
        <w:t>.</w:t>
      </w:r>
      <w:r w:rsidR="00DE75A9">
        <w:t>7</w:t>
      </w:r>
      <w:r w:rsidR="00E455BB">
        <w:t>.</w:t>
      </w:r>
      <w:r>
        <w:t>2024).</w:t>
      </w:r>
      <w:r w:rsidR="005E530A">
        <w:t xml:space="preserve"> </w:t>
      </w:r>
      <w:hyperlink r:id="rId15" w:history="1">
        <w:r w:rsidR="005E530A" w:rsidRPr="00223514">
          <w:rPr>
            <w:rStyle w:val="Hyperlink"/>
          </w:rPr>
          <w:t>https://news.bloomberglaw.com/us-law-week/kagans-high-court-ethics-proposal-poses-enforcement-challenges</w:t>
        </w:r>
      </w:hyperlink>
      <w:r w:rsidR="005E530A">
        <w:t xml:space="preserve"> </w:t>
      </w:r>
    </w:p>
    <w:p w14:paraId="14454D34" w14:textId="77777777" w:rsidR="00FD2DA8" w:rsidRDefault="00FD2DA8">
      <w:pPr>
        <w:pStyle w:val="FootnoteText"/>
        <w:rPr>
          <w:rtl/>
        </w:rPr>
      </w:pPr>
    </w:p>
  </w:footnote>
  <w:footnote w:id="48">
    <w:p w14:paraId="22284FFF" w14:textId="05CF5615" w:rsidR="00B135AF" w:rsidRDefault="00000000" w:rsidP="00DF60F2">
      <w:pPr>
        <w:pStyle w:val="FootnoteText"/>
        <w:bidi w:val="0"/>
      </w:pPr>
      <w:r>
        <w:rPr>
          <w:rStyle w:val="FootnoteReference"/>
        </w:rPr>
        <w:footnoteRef/>
      </w:r>
      <w:r>
        <w:rPr>
          <w:rtl/>
        </w:rPr>
        <w:t xml:space="preserve"> </w:t>
      </w:r>
      <w:r>
        <w:t>Johnson v. Darr, 272 S.W. 1098 (Tex</w:t>
      </w:r>
      <w:r w:rsidR="00DF60F2">
        <w:t>as</w:t>
      </w:r>
      <w:r>
        <w:t xml:space="preserve"> 1925).</w:t>
      </w:r>
    </w:p>
    <w:p w14:paraId="3F59E835" w14:textId="77777777" w:rsidR="00D04C3A" w:rsidRDefault="00D04C3A" w:rsidP="00D04C3A">
      <w:pPr>
        <w:pStyle w:val="FootnoteText"/>
        <w:bidi w:val="0"/>
      </w:pPr>
    </w:p>
  </w:footnote>
  <w:footnote w:id="49">
    <w:p w14:paraId="32F45D6D" w14:textId="6EAA38DC" w:rsidR="00D04C3A" w:rsidRDefault="00D04C3A" w:rsidP="00D04C3A">
      <w:pPr>
        <w:pStyle w:val="FootnoteText"/>
        <w:bidi w:val="0"/>
        <w:rPr>
          <w:rtl/>
        </w:rPr>
      </w:pPr>
      <w:r>
        <w:rPr>
          <w:rStyle w:val="FootnoteReference"/>
        </w:rPr>
        <w:footnoteRef/>
      </w:r>
      <w:r>
        <w:rPr>
          <w:rtl/>
        </w:rPr>
        <w:t xml:space="preserve"> </w:t>
      </w:r>
      <w:r w:rsidRPr="00D04C3A">
        <w:t>Shaun Bowler and Todd Donovan. "Direct Democracy’s Effects on Political Parties."</w:t>
      </w:r>
      <w:r>
        <w:t xml:space="preserve"> In:</w:t>
      </w:r>
      <w:r w:rsidRPr="00D04C3A">
        <w:t xml:space="preserve"> </w:t>
      </w:r>
      <w:r w:rsidRPr="00D04C3A">
        <w:rPr>
          <w:b/>
          <w:bCs/>
        </w:rPr>
        <w:t>Direct Democracy’s Impact on American Political Institutions</w:t>
      </w:r>
      <w:r w:rsidR="00281D30">
        <w:t xml:space="preserve">, </w:t>
      </w:r>
      <w:r w:rsidR="00281D30" w:rsidRPr="00D04C3A">
        <w:t>69</w:t>
      </w:r>
      <w:r w:rsidR="00281D30">
        <w:t>—</w:t>
      </w:r>
      <w:r w:rsidR="00281D30" w:rsidRPr="00D04C3A">
        <w:t>92</w:t>
      </w:r>
      <w:r w:rsidR="00281D30">
        <w:t xml:space="preserve"> (</w:t>
      </w:r>
      <w:r w:rsidRPr="00D04C3A">
        <w:t>Palgrave Macmillan</w:t>
      </w:r>
      <w:r w:rsidR="00281D30">
        <w:t>,</w:t>
      </w:r>
      <w:r w:rsidRPr="00D04C3A">
        <w:t xml:space="preserve"> </w:t>
      </w:r>
      <w:r w:rsidR="00281D30" w:rsidRPr="00D04C3A">
        <w:t>New York</w:t>
      </w:r>
      <w:r w:rsidR="00281D30">
        <w:t xml:space="preserve">, </w:t>
      </w:r>
      <w:r w:rsidRPr="00D04C3A">
        <w:t>US</w:t>
      </w:r>
      <w:r w:rsidR="00281D30">
        <w:t>,</w:t>
      </w:r>
      <w:r>
        <w:t xml:space="preserve"> </w:t>
      </w:r>
      <w:r w:rsidRPr="00D04C3A">
        <w:t>2008</w:t>
      </w:r>
      <w:r>
        <w:t>)</w:t>
      </w:r>
      <w:r w:rsidRPr="00D04C3A">
        <w:t>.</w:t>
      </w:r>
      <w:r w:rsidRPr="00D04C3A">
        <w:rPr>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74F69"/>
    <w:multiLevelType w:val="hybridMultilevel"/>
    <w:tmpl w:val="5AE0A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83100"/>
    <w:multiLevelType w:val="hybridMultilevel"/>
    <w:tmpl w:val="0E3C9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9598233">
    <w:abstractNumId w:val="0"/>
  </w:num>
  <w:num w:numId="2" w16cid:durableId="1906377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7F"/>
    <w:rsid w:val="00001BBB"/>
    <w:rsid w:val="00001C0F"/>
    <w:rsid w:val="00015413"/>
    <w:rsid w:val="00015E21"/>
    <w:rsid w:val="00016317"/>
    <w:rsid w:val="000177F7"/>
    <w:rsid w:val="00023A8C"/>
    <w:rsid w:val="00027269"/>
    <w:rsid w:val="00032EC3"/>
    <w:rsid w:val="0003778B"/>
    <w:rsid w:val="00040B72"/>
    <w:rsid w:val="00042057"/>
    <w:rsid w:val="00042480"/>
    <w:rsid w:val="00047859"/>
    <w:rsid w:val="00061591"/>
    <w:rsid w:val="000630F4"/>
    <w:rsid w:val="000655D8"/>
    <w:rsid w:val="00070375"/>
    <w:rsid w:val="00077316"/>
    <w:rsid w:val="00077B65"/>
    <w:rsid w:val="000832BD"/>
    <w:rsid w:val="00083722"/>
    <w:rsid w:val="00083FE2"/>
    <w:rsid w:val="00086949"/>
    <w:rsid w:val="000975FF"/>
    <w:rsid w:val="000A366F"/>
    <w:rsid w:val="000A797C"/>
    <w:rsid w:val="000B14BF"/>
    <w:rsid w:val="000B1C5C"/>
    <w:rsid w:val="000B1C77"/>
    <w:rsid w:val="000C2358"/>
    <w:rsid w:val="000C248B"/>
    <w:rsid w:val="000C2A9B"/>
    <w:rsid w:val="000C5975"/>
    <w:rsid w:val="000D4BCD"/>
    <w:rsid w:val="000D5B47"/>
    <w:rsid w:val="000E2C0F"/>
    <w:rsid w:val="000E322B"/>
    <w:rsid w:val="000E7092"/>
    <w:rsid w:val="000F0419"/>
    <w:rsid w:val="000F121B"/>
    <w:rsid w:val="00101241"/>
    <w:rsid w:val="00101311"/>
    <w:rsid w:val="00101884"/>
    <w:rsid w:val="00106C5C"/>
    <w:rsid w:val="00107826"/>
    <w:rsid w:val="001106CE"/>
    <w:rsid w:val="00111FAE"/>
    <w:rsid w:val="00120F93"/>
    <w:rsid w:val="001250F8"/>
    <w:rsid w:val="00127183"/>
    <w:rsid w:val="00132511"/>
    <w:rsid w:val="00132B5C"/>
    <w:rsid w:val="001343DF"/>
    <w:rsid w:val="00137BCB"/>
    <w:rsid w:val="00151296"/>
    <w:rsid w:val="001622A2"/>
    <w:rsid w:val="0016552E"/>
    <w:rsid w:val="0016565B"/>
    <w:rsid w:val="0016757B"/>
    <w:rsid w:val="001730C0"/>
    <w:rsid w:val="00175381"/>
    <w:rsid w:val="00175750"/>
    <w:rsid w:val="001819E3"/>
    <w:rsid w:val="00183CB1"/>
    <w:rsid w:val="00190E89"/>
    <w:rsid w:val="00195DEF"/>
    <w:rsid w:val="001A0721"/>
    <w:rsid w:val="001A568F"/>
    <w:rsid w:val="001B0115"/>
    <w:rsid w:val="001B01FE"/>
    <w:rsid w:val="001B2F24"/>
    <w:rsid w:val="001C3C48"/>
    <w:rsid w:val="001C7CE0"/>
    <w:rsid w:val="001D5092"/>
    <w:rsid w:val="001E133A"/>
    <w:rsid w:val="001E2590"/>
    <w:rsid w:val="001E56B3"/>
    <w:rsid w:val="001E6167"/>
    <w:rsid w:val="001F328B"/>
    <w:rsid w:val="001F3346"/>
    <w:rsid w:val="001F4485"/>
    <w:rsid w:val="002014E8"/>
    <w:rsid w:val="00205999"/>
    <w:rsid w:val="002268AA"/>
    <w:rsid w:val="00230659"/>
    <w:rsid w:val="00231AAC"/>
    <w:rsid w:val="00232C38"/>
    <w:rsid w:val="0023714D"/>
    <w:rsid w:val="00243A69"/>
    <w:rsid w:val="00244926"/>
    <w:rsid w:val="00252C4B"/>
    <w:rsid w:val="00256EBF"/>
    <w:rsid w:val="00262BAA"/>
    <w:rsid w:val="00262E2B"/>
    <w:rsid w:val="00265F8D"/>
    <w:rsid w:val="002744D3"/>
    <w:rsid w:val="00277F81"/>
    <w:rsid w:val="00281D30"/>
    <w:rsid w:val="0028264A"/>
    <w:rsid w:val="00283D32"/>
    <w:rsid w:val="00284AC8"/>
    <w:rsid w:val="0029648A"/>
    <w:rsid w:val="002A0D56"/>
    <w:rsid w:val="002A1E8D"/>
    <w:rsid w:val="002A2D4C"/>
    <w:rsid w:val="002A49E3"/>
    <w:rsid w:val="002A4FE8"/>
    <w:rsid w:val="002B2B15"/>
    <w:rsid w:val="002B3482"/>
    <w:rsid w:val="002B3ACE"/>
    <w:rsid w:val="002C241F"/>
    <w:rsid w:val="002C4608"/>
    <w:rsid w:val="002C75DE"/>
    <w:rsid w:val="002D3855"/>
    <w:rsid w:val="002E0F45"/>
    <w:rsid w:val="002E1B5C"/>
    <w:rsid w:val="002E5867"/>
    <w:rsid w:val="002E6DBA"/>
    <w:rsid w:val="002F1F0C"/>
    <w:rsid w:val="002F296A"/>
    <w:rsid w:val="002F3D86"/>
    <w:rsid w:val="002F5E6F"/>
    <w:rsid w:val="002F60D1"/>
    <w:rsid w:val="002F6944"/>
    <w:rsid w:val="002F735D"/>
    <w:rsid w:val="002F7860"/>
    <w:rsid w:val="002F7B6D"/>
    <w:rsid w:val="00300CA2"/>
    <w:rsid w:val="00300E8D"/>
    <w:rsid w:val="00303530"/>
    <w:rsid w:val="003117E3"/>
    <w:rsid w:val="00311CC0"/>
    <w:rsid w:val="00312A53"/>
    <w:rsid w:val="003139BA"/>
    <w:rsid w:val="00320503"/>
    <w:rsid w:val="00327481"/>
    <w:rsid w:val="00335E11"/>
    <w:rsid w:val="00343048"/>
    <w:rsid w:val="0035069A"/>
    <w:rsid w:val="00356B8F"/>
    <w:rsid w:val="00356C87"/>
    <w:rsid w:val="00360037"/>
    <w:rsid w:val="00361FA4"/>
    <w:rsid w:val="00365038"/>
    <w:rsid w:val="00370A74"/>
    <w:rsid w:val="00384D5B"/>
    <w:rsid w:val="00391072"/>
    <w:rsid w:val="0039347B"/>
    <w:rsid w:val="003A0374"/>
    <w:rsid w:val="003A05C2"/>
    <w:rsid w:val="003A1680"/>
    <w:rsid w:val="003B3C87"/>
    <w:rsid w:val="003B454A"/>
    <w:rsid w:val="003B6554"/>
    <w:rsid w:val="003C1A65"/>
    <w:rsid w:val="003C5362"/>
    <w:rsid w:val="003D5395"/>
    <w:rsid w:val="003D5E3C"/>
    <w:rsid w:val="003D61B1"/>
    <w:rsid w:val="003D6C52"/>
    <w:rsid w:val="003D7333"/>
    <w:rsid w:val="003E3648"/>
    <w:rsid w:val="003E76CD"/>
    <w:rsid w:val="003F1180"/>
    <w:rsid w:val="00403222"/>
    <w:rsid w:val="0040397B"/>
    <w:rsid w:val="0041027F"/>
    <w:rsid w:val="00416CC7"/>
    <w:rsid w:val="00420E02"/>
    <w:rsid w:val="004259CF"/>
    <w:rsid w:val="00427480"/>
    <w:rsid w:val="004454BA"/>
    <w:rsid w:val="00457DB3"/>
    <w:rsid w:val="0046194B"/>
    <w:rsid w:val="00461DDC"/>
    <w:rsid w:val="00461F31"/>
    <w:rsid w:val="0046344F"/>
    <w:rsid w:val="00474DA3"/>
    <w:rsid w:val="0047577D"/>
    <w:rsid w:val="0048329F"/>
    <w:rsid w:val="004866C1"/>
    <w:rsid w:val="00493CC5"/>
    <w:rsid w:val="00494FED"/>
    <w:rsid w:val="004A2117"/>
    <w:rsid w:val="004A4F09"/>
    <w:rsid w:val="004A7D43"/>
    <w:rsid w:val="004B08F4"/>
    <w:rsid w:val="004B30CA"/>
    <w:rsid w:val="004B48EC"/>
    <w:rsid w:val="004B4FA7"/>
    <w:rsid w:val="004B6818"/>
    <w:rsid w:val="004C2A5E"/>
    <w:rsid w:val="004D00E7"/>
    <w:rsid w:val="004D2E70"/>
    <w:rsid w:val="004D3992"/>
    <w:rsid w:val="004D415C"/>
    <w:rsid w:val="004D5FB3"/>
    <w:rsid w:val="004E02A4"/>
    <w:rsid w:val="004E231F"/>
    <w:rsid w:val="004E241D"/>
    <w:rsid w:val="004F112F"/>
    <w:rsid w:val="004F6274"/>
    <w:rsid w:val="004F78D2"/>
    <w:rsid w:val="004F7B1F"/>
    <w:rsid w:val="005023BB"/>
    <w:rsid w:val="00511170"/>
    <w:rsid w:val="0051210D"/>
    <w:rsid w:val="00520CB4"/>
    <w:rsid w:val="00522DAD"/>
    <w:rsid w:val="005230A5"/>
    <w:rsid w:val="00526203"/>
    <w:rsid w:val="00526D43"/>
    <w:rsid w:val="00532CA5"/>
    <w:rsid w:val="005348DC"/>
    <w:rsid w:val="005354BA"/>
    <w:rsid w:val="00540A95"/>
    <w:rsid w:val="00545791"/>
    <w:rsid w:val="005472E2"/>
    <w:rsid w:val="00547867"/>
    <w:rsid w:val="00547B9E"/>
    <w:rsid w:val="00551F43"/>
    <w:rsid w:val="005558BD"/>
    <w:rsid w:val="005646D4"/>
    <w:rsid w:val="00565D0D"/>
    <w:rsid w:val="00571C66"/>
    <w:rsid w:val="00585B69"/>
    <w:rsid w:val="0059493D"/>
    <w:rsid w:val="005964DA"/>
    <w:rsid w:val="005A1818"/>
    <w:rsid w:val="005B1815"/>
    <w:rsid w:val="005B4513"/>
    <w:rsid w:val="005B5221"/>
    <w:rsid w:val="005B7F1C"/>
    <w:rsid w:val="005C13B2"/>
    <w:rsid w:val="005C2EC1"/>
    <w:rsid w:val="005C3BFE"/>
    <w:rsid w:val="005D3689"/>
    <w:rsid w:val="005D3F04"/>
    <w:rsid w:val="005D5083"/>
    <w:rsid w:val="005D7250"/>
    <w:rsid w:val="005E3B4E"/>
    <w:rsid w:val="005E530A"/>
    <w:rsid w:val="005F7833"/>
    <w:rsid w:val="006008AD"/>
    <w:rsid w:val="00604AC2"/>
    <w:rsid w:val="006056FD"/>
    <w:rsid w:val="00621531"/>
    <w:rsid w:val="00622926"/>
    <w:rsid w:val="00623A9B"/>
    <w:rsid w:val="0062470C"/>
    <w:rsid w:val="006278DE"/>
    <w:rsid w:val="00627D99"/>
    <w:rsid w:val="006409A8"/>
    <w:rsid w:val="00640EAD"/>
    <w:rsid w:val="00641764"/>
    <w:rsid w:val="00642A7D"/>
    <w:rsid w:val="00643205"/>
    <w:rsid w:val="006438D1"/>
    <w:rsid w:val="006477EA"/>
    <w:rsid w:val="00650338"/>
    <w:rsid w:val="006516F3"/>
    <w:rsid w:val="00653473"/>
    <w:rsid w:val="00654F71"/>
    <w:rsid w:val="006565D3"/>
    <w:rsid w:val="00661440"/>
    <w:rsid w:val="00662FC1"/>
    <w:rsid w:val="00666E63"/>
    <w:rsid w:val="00670BE8"/>
    <w:rsid w:val="006725DC"/>
    <w:rsid w:val="00672B7C"/>
    <w:rsid w:val="006763E3"/>
    <w:rsid w:val="0067671D"/>
    <w:rsid w:val="00676940"/>
    <w:rsid w:val="0068284E"/>
    <w:rsid w:val="00682EEE"/>
    <w:rsid w:val="006871A8"/>
    <w:rsid w:val="0069374D"/>
    <w:rsid w:val="006977D1"/>
    <w:rsid w:val="006A1FAF"/>
    <w:rsid w:val="006A30CE"/>
    <w:rsid w:val="006A68A5"/>
    <w:rsid w:val="006B18D4"/>
    <w:rsid w:val="006B4057"/>
    <w:rsid w:val="006B4CCD"/>
    <w:rsid w:val="006B6E24"/>
    <w:rsid w:val="006C197E"/>
    <w:rsid w:val="006D13C8"/>
    <w:rsid w:val="006D236F"/>
    <w:rsid w:val="006D41F3"/>
    <w:rsid w:val="006D6968"/>
    <w:rsid w:val="006E091A"/>
    <w:rsid w:val="006E477F"/>
    <w:rsid w:val="006F1EE6"/>
    <w:rsid w:val="006F25E5"/>
    <w:rsid w:val="006F589D"/>
    <w:rsid w:val="007031DA"/>
    <w:rsid w:val="00705079"/>
    <w:rsid w:val="00705DB9"/>
    <w:rsid w:val="00722A11"/>
    <w:rsid w:val="00727448"/>
    <w:rsid w:val="00734F16"/>
    <w:rsid w:val="007471D1"/>
    <w:rsid w:val="00753748"/>
    <w:rsid w:val="007544C4"/>
    <w:rsid w:val="00757662"/>
    <w:rsid w:val="00770777"/>
    <w:rsid w:val="00771DA0"/>
    <w:rsid w:val="0077616C"/>
    <w:rsid w:val="007827D8"/>
    <w:rsid w:val="0079214E"/>
    <w:rsid w:val="00795E4C"/>
    <w:rsid w:val="007B6498"/>
    <w:rsid w:val="007C0D75"/>
    <w:rsid w:val="007C25CD"/>
    <w:rsid w:val="007D0BB7"/>
    <w:rsid w:val="007D0E0E"/>
    <w:rsid w:val="007D49D8"/>
    <w:rsid w:val="007D4C32"/>
    <w:rsid w:val="007D6A7C"/>
    <w:rsid w:val="007E0206"/>
    <w:rsid w:val="007E0808"/>
    <w:rsid w:val="007E2A37"/>
    <w:rsid w:val="007E59F5"/>
    <w:rsid w:val="007E5CA1"/>
    <w:rsid w:val="007F660D"/>
    <w:rsid w:val="008011B1"/>
    <w:rsid w:val="008024CE"/>
    <w:rsid w:val="00802982"/>
    <w:rsid w:val="00805A8F"/>
    <w:rsid w:val="00811BAE"/>
    <w:rsid w:val="00813326"/>
    <w:rsid w:val="00815DE6"/>
    <w:rsid w:val="00817EBF"/>
    <w:rsid w:val="0082156F"/>
    <w:rsid w:val="00823898"/>
    <w:rsid w:val="00830EA3"/>
    <w:rsid w:val="00830FA0"/>
    <w:rsid w:val="00832015"/>
    <w:rsid w:val="0083294F"/>
    <w:rsid w:val="0084013F"/>
    <w:rsid w:val="00844075"/>
    <w:rsid w:val="008533E7"/>
    <w:rsid w:val="00857996"/>
    <w:rsid w:val="00860672"/>
    <w:rsid w:val="00863AC4"/>
    <w:rsid w:val="008674C3"/>
    <w:rsid w:val="0087052D"/>
    <w:rsid w:val="0087292B"/>
    <w:rsid w:val="00877889"/>
    <w:rsid w:val="00877AFD"/>
    <w:rsid w:val="008800B2"/>
    <w:rsid w:val="00884B21"/>
    <w:rsid w:val="00896FC2"/>
    <w:rsid w:val="008A0019"/>
    <w:rsid w:val="008A3C91"/>
    <w:rsid w:val="008A52B7"/>
    <w:rsid w:val="008A7316"/>
    <w:rsid w:val="008A7881"/>
    <w:rsid w:val="008B284D"/>
    <w:rsid w:val="008B2922"/>
    <w:rsid w:val="008C129C"/>
    <w:rsid w:val="008D0EDD"/>
    <w:rsid w:val="008D34B1"/>
    <w:rsid w:val="008D3805"/>
    <w:rsid w:val="008D4CA8"/>
    <w:rsid w:val="008E126F"/>
    <w:rsid w:val="008E1C25"/>
    <w:rsid w:val="008E403E"/>
    <w:rsid w:val="008E5805"/>
    <w:rsid w:val="008E5FA5"/>
    <w:rsid w:val="008E66E7"/>
    <w:rsid w:val="008F00BB"/>
    <w:rsid w:val="008F0C7D"/>
    <w:rsid w:val="00903D39"/>
    <w:rsid w:val="00905B64"/>
    <w:rsid w:val="00905EC0"/>
    <w:rsid w:val="009065C3"/>
    <w:rsid w:val="0090779C"/>
    <w:rsid w:val="00911390"/>
    <w:rsid w:val="00912AC2"/>
    <w:rsid w:val="00913C51"/>
    <w:rsid w:val="00914B7A"/>
    <w:rsid w:val="00916373"/>
    <w:rsid w:val="00924A5A"/>
    <w:rsid w:val="00925338"/>
    <w:rsid w:val="009307DD"/>
    <w:rsid w:val="0093424B"/>
    <w:rsid w:val="009359D0"/>
    <w:rsid w:val="00942F07"/>
    <w:rsid w:val="0095180B"/>
    <w:rsid w:val="00953D11"/>
    <w:rsid w:val="0095440A"/>
    <w:rsid w:val="00954677"/>
    <w:rsid w:val="00955BC4"/>
    <w:rsid w:val="00957295"/>
    <w:rsid w:val="00982016"/>
    <w:rsid w:val="0099110D"/>
    <w:rsid w:val="0099642C"/>
    <w:rsid w:val="00997D29"/>
    <w:rsid w:val="009A6D72"/>
    <w:rsid w:val="009B1297"/>
    <w:rsid w:val="009B55A2"/>
    <w:rsid w:val="009D278E"/>
    <w:rsid w:val="009D2FF8"/>
    <w:rsid w:val="009D3594"/>
    <w:rsid w:val="009D74B7"/>
    <w:rsid w:val="009E315C"/>
    <w:rsid w:val="009E3F60"/>
    <w:rsid w:val="009E7EDA"/>
    <w:rsid w:val="009F4A59"/>
    <w:rsid w:val="00A0196E"/>
    <w:rsid w:val="00A041A1"/>
    <w:rsid w:val="00A04C4D"/>
    <w:rsid w:val="00A121AD"/>
    <w:rsid w:val="00A12EF1"/>
    <w:rsid w:val="00A17185"/>
    <w:rsid w:val="00A24DA2"/>
    <w:rsid w:val="00A27E59"/>
    <w:rsid w:val="00A415F7"/>
    <w:rsid w:val="00A430D7"/>
    <w:rsid w:val="00A438DF"/>
    <w:rsid w:val="00A438FB"/>
    <w:rsid w:val="00A44427"/>
    <w:rsid w:val="00A51171"/>
    <w:rsid w:val="00A554F3"/>
    <w:rsid w:val="00A610D2"/>
    <w:rsid w:val="00A65EE5"/>
    <w:rsid w:val="00A671A0"/>
    <w:rsid w:val="00A74873"/>
    <w:rsid w:val="00A75331"/>
    <w:rsid w:val="00A75417"/>
    <w:rsid w:val="00A83CB8"/>
    <w:rsid w:val="00A901E9"/>
    <w:rsid w:val="00AA4473"/>
    <w:rsid w:val="00AA5BAE"/>
    <w:rsid w:val="00AA69BA"/>
    <w:rsid w:val="00AB343C"/>
    <w:rsid w:val="00AB5E84"/>
    <w:rsid w:val="00AB620C"/>
    <w:rsid w:val="00AB75DD"/>
    <w:rsid w:val="00AC2A29"/>
    <w:rsid w:val="00AC5D63"/>
    <w:rsid w:val="00AD0F0D"/>
    <w:rsid w:val="00AD35EC"/>
    <w:rsid w:val="00AD679F"/>
    <w:rsid w:val="00AF05D9"/>
    <w:rsid w:val="00AF3A0F"/>
    <w:rsid w:val="00AF53B7"/>
    <w:rsid w:val="00AF54E9"/>
    <w:rsid w:val="00AF6557"/>
    <w:rsid w:val="00B05C91"/>
    <w:rsid w:val="00B11921"/>
    <w:rsid w:val="00B124FE"/>
    <w:rsid w:val="00B135AF"/>
    <w:rsid w:val="00B1378B"/>
    <w:rsid w:val="00B152D7"/>
    <w:rsid w:val="00B176BA"/>
    <w:rsid w:val="00B23E2E"/>
    <w:rsid w:val="00B24748"/>
    <w:rsid w:val="00B2706A"/>
    <w:rsid w:val="00B306A9"/>
    <w:rsid w:val="00B35C28"/>
    <w:rsid w:val="00B40072"/>
    <w:rsid w:val="00B40B00"/>
    <w:rsid w:val="00B45070"/>
    <w:rsid w:val="00B45A25"/>
    <w:rsid w:val="00B46A3C"/>
    <w:rsid w:val="00B4763B"/>
    <w:rsid w:val="00B500B1"/>
    <w:rsid w:val="00B54F5F"/>
    <w:rsid w:val="00B573AA"/>
    <w:rsid w:val="00B60815"/>
    <w:rsid w:val="00B74C7B"/>
    <w:rsid w:val="00B751DE"/>
    <w:rsid w:val="00B75766"/>
    <w:rsid w:val="00B91212"/>
    <w:rsid w:val="00B915B8"/>
    <w:rsid w:val="00B91F37"/>
    <w:rsid w:val="00B936A8"/>
    <w:rsid w:val="00B97574"/>
    <w:rsid w:val="00BB259D"/>
    <w:rsid w:val="00BB5509"/>
    <w:rsid w:val="00BC2564"/>
    <w:rsid w:val="00BC2945"/>
    <w:rsid w:val="00BC6DD1"/>
    <w:rsid w:val="00BC75A2"/>
    <w:rsid w:val="00BD2BCA"/>
    <w:rsid w:val="00BE35A4"/>
    <w:rsid w:val="00BE3F70"/>
    <w:rsid w:val="00BE48DB"/>
    <w:rsid w:val="00BE7071"/>
    <w:rsid w:val="00BE7F01"/>
    <w:rsid w:val="00BF0A65"/>
    <w:rsid w:val="00BF37EF"/>
    <w:rsid w:val="00BF4A8E"/>
    <w:rsid w:val="00BF6797"/>
    <w:rsid w:val="00C072CD"/>
    <w:rsid w:val="00C1212F"/>
    <w:rsid w:val="00C1776C"/>
    <w:rsid w:val="00C208C3"/>
    <w:rsid w:val="00C22901"/>
    <w:rsid w:val="00C31104"/>
    <w:rsid w:val="00C3153B"/>
    <w:rsid w:val="00C31D0E"/>
    <w:rsid w:val="00C351A0"/>
    <w:rsid w:val="00C40C00"/>
    <w:rsid w:val="00C57C07"/>
    <w:rsid w:val="00C6449B"/>
    <w:rsid w:val="00C7684A"/>
    <w:rsid w:val="00C86D0C"/>
    <w:rsid w:val="00C93466"/>
    <w:rsid w:val="00C94B53"/>
    <w:rsid w:val="00C95A47"/>
    <w:rsid w:val="00CA3050"/>
    <w:rsid w:val="00CA4631"/>
    <w:rsid w:val="00CB297B"/>
    <w:rsid w:val="00CB3137"/>
    <w:rsid w:val="00CB441A"/>
    <w:rsid w:val="00CB6B59"/>
    <w:rsid w:val="00CC1AAC"/>
    <w:rsid w:val="00CC4DB6"/>
    <w:rsid w:val="00CC6F26"/>
    <w:rsid w:val="00CD3E47"/>
    <w:rsid w:val="00CD58BE"/>
    <w:rsid w:val="00CE7758"/>
    <w:rsid w:val="00CF1B47"/>
    <w:rsid w:val="00CF649B"/>
    <w:rsid w:val="00D04A47"/>
    <w:rsid w:val="00D04C3A"/>
    <w:rsid w:val="00D15AE6"/>
    <w:rsid w:val="00D244C8"/>
    <w:rsid w:val="00D326E5"/>
    <w:rsid w:val="00D33060"/>
    <w:rsid w:val="00D33A1E"/>
    <w:rsid w:val="00D33AA6"/>
    <w:rsid w:val="00D4417D"/>
    <w:rsid w:val="00D447A8"/>
    <w:rsid w:val="00D46328"/>
    <w:rsid w:val="00D515AB"/>
    <w:rsid w:val="00D521B8"/>
    <w:rsid w:val="00D54601"/>
    <w:rsid w:val="00D56C8C"/>
    <w:rsid w:val="00D620BA"/>
    <w:rsid w:val="00D62AFA"/>
    <w:rsid w:val="00D6444A"/>
    <w:rsid w:val="00D6544D"/>
    <w:rsid w:val="00D65CD7"/>
    <w:rsid w:val="00D70385"/>
    <w:rsid w:val="00D7238E"/>
    <w:rsid w:val="00D87E1B"/>
    <w:rsid w:val="00D91D9F"/>
    <w:rsid w:val="00D9232A"/>
    <w:rsid w:val="00D93C19"/>
    <w:rsid w:val="00D94F53"/>
    <w:rsid w:val="00D95E75"/>
    <w:rsid w:val="00D9600C"/>
    <w:rsid w:val="00DA3800"/>
    <w:rsid w:val="00DA4241"/>
    <w:rsid w:val="00DA4450"/>
    <w:rsid w:val="00DB65CA"/>
    <w:rsid w:val="00DB7E75"/>
    <w:rsid w:val="00DC58E6"/>
    <w:rsid w:val="00DC691B"/>
    <w:rsid w:val="00DC7A23"/>
    <w:rsid w:val="00DD76AC"/>
    <w:rsid w:val="00DD7EAF"/>
    <w:rsid w:val="00DE1C4A"/>
    <w:rsid w:val="00DE75A9"/>
    <w:rsid w:val="00DF1DB6"/>
    <w:rsid w:val="00DF5E19"/>
    <w:rsid w:val="00DF60F2"/>
    <w:rsid w:val="00DF753B"/>
    <w:rsid w:val="00DF7D9A"/>
    <w:rsid w:val="00E04EFB"/>
    <w:rsid w:val="00E150D1"/>
    <w:rsid w:val="00E2016F"/>
    <w:rsid w:val="00E20670"/>
    <w:rsid w:val="00E23FDC"/>
    <w:rsid w:val="00E30976"/>
    <w:rsid w:val="00E31C77"/>
    <w:rsid w:val="00E32D87"/>
    <w:rsid w:val="00E33641"/>
    <w:rsid w:val="00E34DE5"/>
    <w:rsid w:val="00E35F3E"/>
    <w:rsid w:val="00E41A1C"/>
    <w:rsid w:val="00E455BB"/>
    <w:rsid w:val="00E6187D"/>
    <w:rsid w:val="00E618BC"/>
    <w:rsid w:val="00E6323E"/>
    <w:rsid w:val="00E63EF3"/>
    <w:rsid w:val="00E72119"/>
    <w:rsid w:val="00E91468"/>
    <w:rsid w:val="00E95FD0"/>
    <w:rsid w:val="00EA1BBB"/>
    <w:rsid w:val="00EA78F6"/>
    <w:rsid w:val="00EB2729"/>
    <w:rsid w:val="00EC0AE2"/>
    <w:rsid w:val="00EC1426"/>
    <w:rsid w:val="00EC36D4"/>
    <w:rsid w:val="00ED0D6B"/>
    <w:rsid w:val="00ED2803"/>
    <w:rsid w:val="00ED67C0"/>
    <w:rsid w:val="00EE034C"/>
    <w:rsid w:val="00EE5BF9"/>
    <w:rsid w:val="00EF0852"/>
    <w:rsid w:val="00EF409C"/>
    <w:rsid w:val="00EF7137"/>
    <w:rsid w:val="00F02CE3"/>
    <w:rsid w:val="00F06FC4"/>
    <w:rsid w:val="00F0712E"/>
    <w:rsid w:val="00F17291"/>
    <w:rsid w:val="00F23E5E"/>
    <w:rsid w:val="00F25979"/>
    <w:rsid w:val="00F30F5A"/>
    <w:rsid w:val="00F35AEF"/>
    <w:rsid w:val="00F42A46"/>
    <w:rsid w:val="00F43A54"/>
    <w:rsid w:val="00F47C02"/>
    <w:rsid w:val="00F5019B"/>
    <w:rsid w:val="00F52D07"/>
    <w:rsid w:val="00F52E81"/>
    <w:rsid w:val="00F543D9"/>
    <w:rsid w:val="00F6215F"/>
    <w:rsid w:val="00F63A0F"/>
    <w:rsid w:val="00F66FBA"/>
    <w:rsid w:val="00F706A8"/>
    <w:rsid w:val="00F73F87"/>
    <w:rsid w:val="00F76D27"/>
    <w:rsid w:val="00F803BB"/>
    <w:rsid w:val="00F86BFF"/>
    <w:rsid w:val="00F870D2"/>
    <w:rsid w:val="00F8711E"/>
    <w:rsid w:val="00F90C08"/>
    <w:rsid w:val="00F95DFC"/>
    <w:rsid w:val="00FA39D0"/>
    <w:rsid w:val="00FA4775"/>
    <w:rsid w:val="00FA7122"/>
    <w:rsid w:val="00FB37EF"/>
    <w:rsid w:val="00FB41B4"/>
    <w:rsid w:val="00FB42F4"/>
    <w:rsid w:val="00FB6C4C"/>
    <w:rsid w:val="00FC0255"/>
    <w:rsid w:val="00FC7B59"/>
    <w:rsid w:val="00FD0BC9"/>
    <w:rsid w:val="00FD20BF"/>
    <w:rsid w:val="00FD2DA8"/>
    <w:rsid w:val="00FD6D16"/>
    <w:rsid w:val="00FD6E2B"/>
    <w:rsid w:val="00FD75EE"/>
    <w:rsid w:val="00FE1BD5"/>
    <w:rsid w:val="00FE275E"/>
    <w:rsid w:val="00FE288B"/>
    <w:rsid w:val="00FE5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4044"/>
  <w15:chartTrackingRefBased/>
  <w15:docId w15:val="{A9300F32-5D27-4637-AA1E-CD9FB8B1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D11"/>
    <w:pPr>
      <w:bidi/>
    </w:pPr>
    <w:rPr>
      <w:rFonts w:cs="Times New Roman"/>
    </w:rPr>
  </w:style>
  <w:style w:type="paragraph" w:styleId="Heading1">
    <w:name w:val="heading 1"/>
    <w:basedOn w:val="Normal"/>
    <w:next w:val="Normal"/>
    <w:link w:val="Heading1Char"/>
    <w:uiPriority w:val="9"/>
    <w:qFormat/>
    <w:rsid w:val="006E47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47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47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7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7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4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4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77F"/>
    <w:rPr>
      <w:rFonts w:eastAsiaTheme="majorEastAsia" w:cstheme="majorBidi"/>
      <w:color w:val="272727" w:themeColor="text1" w:themeTint="D8"/>
    </w:rPr>
  </w:style>
  <w:style w:type="paragraph" w:styleId="Title">
    <w:name w:val="Title"/>
    <w:basedOn w:val="Normal"/>
    <w:next w:val="Normal"/>
    <w:link w:val="TitleChar"/>
    <w:uiPriority w:val="10"/>
    <w:qFormat/>
    <w:rsid w:val="006E4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77F"/>
    <w:pPr>
      <w:spacing w:before="160"/>
      <w:jc w:val="center"/>
    </w:pPr>
    <w:rPr>
      <w:i/>
      <w:iCs/>
      <w:color w:val="404040" w:themeColor="text1" w:themeTint="BF"/>
    </w:rPr>
  </w:style>
  <w:style w:type="character" w:customStyle="1" w:styleId="QuoteChar">
    <w:name w:val="Quote Char"/>
    <w:basedOn w:val="DefaultParagraphFont"/>
    <w:link w:val="Quote"/>
    <w:uiPriority w:val="29"/>
    <w:rsid w:val="006E477F"/>
    <w:rPr>
      <w:i/>
      <w:iCs/>
      <w:color w:val="404040" w:themeColor="text1" w:themeTint="BF"/>
    </w:rPr>
  </w:style>
  <w:style w:type="paragraph" w:styleId="ListParagraph">
    <w:name w:val="List Paragraph"/>
    <w:basedOn w:val="Normal"/>
    <w:uiPriority w:val="34"/>
    <w:qFormat/>
    <w:rsid w:val="006E477F"/>
    <w:pPr>
      <w:ind w:left="720"/>
      <w:contextualSpacing/>
    </w:pPr>
  </w:style>
  <w:style w:type="character" w:styleId="IntenseEmphasis">
    <w:name w:val="Intense Emphasis"/>
    <w:basedOn w:val="DefaultParagraphFont"/>
    <w:uiPriority w:val="21"/>
    <w:qFormat/>
    <w:rsid w:val="006E477F"/>
    <w:rPr>
      <w:i/>
      <w:iCs/>
      <w:color w:val="0F4761" w:themeColor="accent1" w:themeShade="BF"/>
    </w:rPr>
  </w:style>
  <w:style w:type="paragraph" w:styleId="IntenseQuote">
    <w:name w:val="Intense Quote"/>
    <w:basedOn w:val="Normal"/>
    <w:next w:val="Normal"/>
    <w:link w:val="IntenseQuoteChar"/>
    <w:uiPriority w:val="30"/>
    <w:qFormat/>
    <w:rsid w:val="006E47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77F"/>
    <w:rPr>
      <w:i/>
      <w:iCs/>
      <w:color w:val="0F4761" w:themeColor="accent1" w:themeShade="BF"/>
    </w:rPr>
  </w:style>
  <w:style w:type="character" w:styleId="IntenseReference">
    <w:name w:val="Intense Reference"/>
    <w:basedOn w:val="DefaultParagraphFont"/>
    <w:uiPriority w:val="32"/>
    <w:qFormat/>
    <w:rsid w:val="006E477F"/>
    <w:rPr>
      <w:b/>
      <w:bCs/>
      <w:smallCaps/>
      <w:color w:val="0F4761" w:themeColor="accent1" w:themeShade="BF"/>
      <w:spacing w:val="5"/>
    </w:rPr>
  </w:style>
  <w:style w:type="character" w:styleId="Hyperlink">
    <w:name w:val="Hyperlink"/>
    <w:basedOn w:val="DefaultParagraphFont"/>
    <w:uiPriority w:val="99"/>
    <w:unhideWhenUsed/>
    <w:rsid w:val="00BB5509"/>
    <w:rPr>
      <w:color w:val="467886" w:themeColor="hyperlink"/>
      <w:u w:val="single"/>
    </w:rPr>
  </w:style>
  <w:style w:type="character" w:styleId="UnresolvedMention">
    <w:name w:val="Unresolved Mention"/>
    <w:basedOn w:val="DefaultParagraphFont"/>
    <w:uiPriority w:val="99"/>
    <w:semiHidden/>
    <w:unhideWhenUsed/>
    <w:rsid w:val="00BB5509"/>
    <w:rPr>
      <w:color w:val="605E5C"/>
      <w:shd w:val="clear" w:color="auto" w:fill="E1DFDD"/>
    </w:rPr>
  </w:style>
  <w:style w:type="paragraph" w:styleId="FootnoteText">
    <w:name w:val="footnote text"/>
    <w:basedOn w:val="Normal"/>
    <w:link w:val="FootnoteTextChar"/>
    <w:uiPriority w:val="99"/>
    <w:unhideWhenUsed/>
    <w:rsid w:val="00666E63"/>
    <w:pPr>
      <w:spacing w:after="0" w:line="240" w:lineRule="auto"/>
    </w:pPr>
    <w:rPr>
      <w:sz w:val="20"/>
      <w:szCs w:val="20"/>
    </w:rPr>
  </w:style>
  <w:style w:type="character" w:customStyle="1" w:styleId="FootnoteTextChar">
    <w:name w:val="Footnote Text Char"/>
    <w:basedOn w:val="DefaultParagraphFont"/>
    <w:link w:val="FootnoteText"/>
    <w:uiPriority w:val="99"/>
    <w:rsid w:val="00666E63"/>
    <w:rPr>
      <w:sz w:val="20"/>
      <w:szCs w:val="20"/>
    </w:rPr>
  </w:style>
  <w:style w:type="character" w:styleId="FootnoteReference">
    <w:name w:val="footnote reference"/>
    <w:basedOn w:val="DefaultParagraphFont"/>
    <w:uiPriority w:val="99"/>
    <w:semiHidden/>
    <w:unhideWhenUsed/>
    <w:rsid w:val="00666E63"/>
    <w:rPr>
      <w:vertAlign w:val="superscript"/>
    </w:rPr>
  </w:style>
  <w:style w:type="character" w:styleId="FollowedHyperlink">
    <w:name w:val="FollowedHyperlink"/>
    <w:basedOn w:val="DefaultParagraphFont"/>
    <w:uiPriority w:val="99"/>
    <w:semiHidden/>
    <w:unhideWhenUsed/>
    <w:rsid w:val="001675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ain.knesset.gov.il/news/pressreleases/pages/press11.01.23.aspx" TargetMode="External"/><Relationship Id="rId13" Type="http://schemas.openxmlformats.org/officeDocument/2006/relationships/hyperlink" Target="https://law.stanford.edu/2019/03/20/the-constitutional-path-to-dictatorship-in-venezuela/" TargetMode="External"/><Relationship Id="rId3" Type="http://schemas.openxmlformats.org/officeDocument/2006/relationships/hyperlink" Target="https://www.runi.ac.il/research-institutes/government/libres/inst_measures/trust-in-political-institutes/" TargetMode="External"/><Relationship Id="rId7" Type="http://schemas.openxmlformats.org/officeDocument/2006/relationships/hyperlink" Target="https://he.wikisource.org" TargetMode="External"/><Relationship Id="rId12" Type="http://schemas.openxmlformats.org/officeDocument/2006/relationships/hyperlink" Target="https://feps-europe.eu/empirical-effects-of-direct-democracy/" TargetMode="External"/><Relationship Id="rId2" Type="http://schemas.openxmlformats.org/officeDocument/2006/relationships/hyperlink" Target="https://www.ynet.co.il/news/article/hjokqa6rn" TargetMode="External"/><Relationship Id="rId1" Type="http://schemas.openxmlformats.org/officeDocument/2006/relationships/hyperlink" Target="https://www.idi.org.il/articles/50046" TargetMode="External"/><Relationship Id="rId6" Type="http://schemas.openxmlformats.org/officeDocument/2006/relationships/hyperlink" Target="https://www.idea.int/publications/catalogue/direct-democracy" TargetMode="External"/><Relationship Id="rId11" Type="http://schemas.openxmlformats.org/officeDocument/2006/relationships/hyperlink" Target="https://www.idi.org.il/articles/8377" TargetMode="External"/><Relationship Id="rId5" Type="http://schemas.openxmlformats.org/officeDocument/2006/relationships/hyperlink" Target="https://www.idea.int/publications/catalogue/constitutional-amendment-procedures" TargetMode="External"/><Relationship Id="rId15" Type="http://schemas.openxmlformats.org/officeDocument/2006/relationships/hyperlink" Target="https://news.bloomberglaw.com/us-law-week/kagans-high-court-ethics-proposal-poses-enforcement-challenges" TargetMode="External"/><Relationship Id="rId10" Type="http://schemas.openxmlformats.org/officeDocument/2006/relationships/hyperlink" Target="https://www.inn.co.il/news/508703" TargetMode="External"/><Relationship Id="rId4" Type="http://schemas.openxmlformats.org/officeDocument/2006/relationships/hyperlink" Target="https://www.kan.org.il/content/kan-news/law/287776" TargetMode="External"/><Relationship Id="rId9" Type="http://schemas.openxmlformats.org/officeDocument/2006/relationships/hyperlink" Target="https://s3.eu-central-1.amazonaws.com/ext-linst-c5-web-liechtenstein-institut.li-2019/1215/7435/0328/LIAP_014_0.pdf" TargetMode="External"/><Relationship Id="rId14" Type="http://schemas.openxmlformats.org/officeDocument/2006/relationships/hyperlink" Target="https://news.bloomberglaw.com/us-law-week/let-judges-review-supreme-court-justices-recusal-deci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5E11-6A14-49A5-B406-4FC282D2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13</Pages>
  <Words>4243</Words>
  <Characters>21218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Erel Segal-Halevi</dc:creator>
  <cp:keywords/>
  <dc:description/>
  <cp:lastModifiedBy>דוד אראל סגל הלוי/David Erel Segal Halevi</cp:lastModifiedBy>
  <cp:revision>8</cp:revision>
  <dcterms:created xsi:type="dcterms:W3CDTF">2026-06-06T18:41:00Z</dcterms:created>
  <dcterms:modified xsi:type="dcterms:W3CDTF">2026-06-30T08:16:00Z</dcterms:modified>
</cp:coreProperties>
</file>